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08" w:rsidRDefault="00FA31F2">
      <w:pPr>
        <w:pStyle w:val="RefAgency"/>
        <w:tabs>
          <w:tab w:val="left" w:pos="1277"/>
        </w:tabs>
      </w:pPr>
      <w:r>
        <w:t>4 October 2021</w:t>
      </w:r>
    </w:p>
    <w:p w:rsidR="008F1308" w:rsidRDefault="00FA31F2">
      <w:pPr>
        <w:pStyle w:val="RefAgency"/>
        <w:tabs>
          <w:tab w:val="left" w:pos="1287"/>
        </w:tabs>
      </w:pPr>
      <w:r>
        <w:fldChar w:fldCharType="begin"/>
      </w:r>
      <w:r>
        <w:instrText xml:space="preserve"> IF </w:instrText>
      </w:r>
      <w:fldSimple w:instr=" DOCPROPERTY &quot;DM_emea_doc_ref_id&quot;  \* MERGEFORMAT ">
        <w:r>
          <w:rPr>
            <w:b/>
            <w:bCs/>
            <w:lang w:val="en-US"/>
          </w:rPr>
          <w:instrText>EMA/553891/2021</w:instrText>
        </w:r>
      </w:fldSimple>
      <w:r>
        <w:instrText xml:space="preserve"> &lt;&gt; "Error*"</w:instrText>
      </w:r>
      <w:fldSimple w:instr=" DOCPROPERTY &quot;DM_emea_doc_ref_id&quot;  \* MERGEFORMAT ">
        <w:r>
          <w:instrText>EMA/553891/2021</w:instrText>
        </w:r>
      </w:fldSimple>
      <w:r>
        <w:instrText xml:space="preserve"> \* MERGEFORMAT </w:instrText>
      </w:r>
      <w:r>
        <w:fldChar w:fldCharType="separate"/>
      </w:r>
      <w:r>
        <w:t>EMA/553891/2021</w:t>
      </w:r>
      <w:r>
        <w:fldChar w:fldCharType="end"/>
      </w:r>
      <w:r>
        <w:fldChar w:fldCharType="begin"/>
      </w:r>
      <w:r>
        <w:instrText xml:space="preserve">  </w:instrText>
      </w:r>
      <w:r>
        <w:fldChar w:fldCharType="end"/>
      </w:r>
    </w:p>
    <w:p w:rsidR="00FA31F2" w:rsidRDefault="00FA31F2" w:rsidP="00FA31F2">
      <w:pPr>
        <w:pStyle w:val="PRESSRELEASEPR"/>
        <w:pBdr>
          <w:top w:val="single" w:sz="4" w:space="1" w:color="FF0000"/>
          <w:left w:val="single" w:sz="4" w:space="0" w:color="FF0000"/>
          <w:bottom w:val="single" w:sz="4" w:space="1" w:color="FF0000"/>
          <w:right w:val="single" w:sz="4" w:space="4" w:color="FF0000"/>
        </w:pBdr>
        <w:outlineLvl w:val="0"/>
        <w:rPr>
          <w:rFonts w:ascii="Verdana" w:hAnsi="Verdana"/>
          <w:color w:val="FF0000"/>
          <w:sz w:val="24"/>
          <w:szCs w:val="24"/>
        </w:rPr>
      </w:pPr>
      <w:bookmarkStart w:id="0" w:name="Head"/>
      <w:bookmarkStart w:id="1" w:name="_Hlk80698345"/>
      <w:bookmarkEnd w:id="0"/>
      <w:r>
        <w:rPr>
          <w:rFonts w:ascii="Verdana" w:hAnsi="Verdana"/>
          <w:color w:val="FF0000"/>
          <w:sz w:val="24"/>
          <w:szCs w:val="24"/>
        </w:rPr>
        <w:t xml:space="preserve">EMBARGO – DO NOT PUBLISH BEFORE </w:t>
      </w:r>
    </w:p>
    <w:p w:rsidR="00FA31F2" w:rsidRDefault="00FA31F2" w:rsidP="00FA31F2">
      <w:pPr>
        <w:pStyle w:val="PRESSRELEASEPR"/>
        <w:pBdr>
          <w:top w:val="single" w:sz="4" w:space="1" w:color="FF0000"/>
          <w:left w:val="single" w:sz="4" w:space="0" w:color="FF0000"/>
          <w:bottom w:val="single" w:sz="4" w:space="1" w:color="FF0000"/>
          <w:right w:val="single" w:sz="4" w:space="4" w:color="FF0000"/>
        </w:pBdr>
        <w:rPr>
          <w:rFonts w:ascii="Verdana" w:hAnsi="Verdana"/>
          <w:color w:val="FF0000"/>
          <w:sz w:val="24"/>
          <w:szCs w:val="24"/>
        </w:rPr>
      </w:pPr>
      <w:r>
        <w:rPr>
          <w:rFonts w:ascii="Verdana" w:hAnsi="Verdana"/>
          <w:color w:val="FF0000"/>
          <w:sz w:val="24"/>
          <w:szCs w:val="24"/>
        </w:rPr>
        <w:t>TODAY, MONDAY, 4 OCTOBER 2021, 16:00 hrs ceSt</w:t>
      </w:r>
    </w:p>
    <w:bookmarkEnd w:id="1"/>
    <w:p w:rsidR="008F1308" w:rsidRDefault="00FA31F2" w:rsidP="005E56BD">
      <w:pPr>
        <w:pStyle w:val="DoctitleAgency"/>
        <w:spacing w:after="640"/>
      </w:pPr>
      <w:r>
        <w:t xml:space="preserve">Comirnaty and </w:t>
      </w:r>
      <w:proofErr w:type="spellStart"/>
      <w:r>
        <w:t>Spikevax</w:t>
      </w:r>
      <w:proofErr w:type="spellEnd"/>
      <w:r>
        <w:t xml:space="preserve">: </w:t>
      </w:r>
      <w:r w:rsidR="00C711A6">
        <w:t xml:space="preserve">EMA recommendations </w:t>
      </w:r>
      <w:r w:rsidR="00E0629A">
        <w:t xml:space="preserve">on </w:t>
      </w:r>
      <w:r w:rsidR="000E41B5">
        <w:t xml:space="preserve">extra </w:t>
      </w:r>
      <w:r>
        <w:t>doses and boosters</w:t>
      </w:r>
    </w:p>
    <w:p w:rsidR="008F1308" w:rsidRDefault="00FA31F2">
      <w:pPr>
        <w:pStyle w:val="BodytextAgency"/>
      </w:pPr>
      <w:r>
        <w:t>EMA’s human medicines committee (</w:t>
      </w:r>
      <w:r w:rsidR="00701C00">
        <w:t xml:space="preserve">CHMP) has concluded that </w:t>
      </w:r>
      <w:r w:rsidR="000E41B5">
        <w:t xml:space="preserve">an extra </w:t>
      </w:r>
      <w:r w:rsidR="00701C00">
        <w:t xml:space="preserve">dose of </w:t>
      </w:r>
      <w:r w:rsidR="000B61E4">
        <w:t xml:space="preserve">the COVID-19 vaccines </w:t>
      </w:r>
      <w:r w:rsidR="00701C00" w:rsidRPr="00701C00">
        <w:t xml:space="preserve">Comirnaty </w:t>
      </w:r>
      <w:r w:rsidR="00701C00">
        <w:t>(</w:t>
      </w:r>
      <w:proofErr w:type="spellStart"/>
      <w:r w:rsidR="003620D7">
        <w:t>BioNTech</w:t>
      </w:r>
      <w:proofErr w:type="spellEnd"/>
      <w:r w:rsidR="003620D7">
        <w:t>/</w:t>
      </w:r>
      <w:r w:rsidR="00701C00">
        <w:t xml:space="preserve">Pfizer) </w:t>
      </w:r>
      <w:r w:rsidR="00701C00" w:rsidRPr="00701C00">
        <w:t xml:space="preserve">and </w:t>
      </w:r>
      <w:proofErr w:type="spellStart"/>
      <w:r w:rsidR="00701C00" w:rsidRPr="00701C00">
        <w:t>Spikevax</w:t>
      </w:r>
      <w:proofErr w:type="spellEnd"/>
      <w:r w:rsidR="00701C00">
        <w:t xml:space="preserve"> (</w:t>
      </w:r>
      <w:proofErr w:type="spellStart"/>
      <w:r w:rsidR="00701C00">
        <w:t>Moderna</w:t>
      </w:r>
      <w:proofErr w:type="spellEnd"/>
      <w:r w:rsidR="00701C00">
        <w:t>) may be given to people with severely</w:t>
      </w:r>
      <w:r w:rsidR="00701C00" w:rsidRPr="00701C00">
        <w:t xml:space="preserve"> weakened immune systems</w:t>
      </w:r>
      <w:r w:rsidR="000B61E4">
        <w:t>,</w:t>
      </w:r>
      <w:r w:rsidR="00701C00" w:rsidRPr="00701C00">
        <w:t xml:space="preserve"> </w:t>
      </w:r>
      <w:r w:rsidR="00534FB1">
        <w:t>at least 28 days after the</w:t>
      </w:r>
      <w:r w:rsidR="00CC6225">
        <w:t>ir</w:t>
      </w:r>
      <w:r w:rsidR="00534FB1">
        <w:t xml:space="preserve"> second dose. </w:t>
      </w:r>
    </w:p>
    <w:p w:rsidR="003620D7" w:rsidRDefault="00FA31F2">
      <w:pPr>
        <w:pStyle w:val="BodytextAgency"/>
      </w:pPr>
      <w:r>
        <w:t xml:space="preserve">The recommendation comes after studies showed that </w:t>
      </w:r>
      <w:r w:rsidR="000E41B5">
        <w:t xml:space="preserve">an extra </w:t>
      </w:r>
      <w:r>
        <w:t xml:space="preserve">dose of these vaccines increased the ability to produce antibodies against </w:t>
      </w:r>
      <w:r w:rsidR="00E57C2B">
        <w:t xml:space="preserve">the virus that causes COVID-19 </w:t>
      </w:r>
      <w:r>
        <w:t xml:space="preserve">in organ transplant patients with </w:t>
      </w:r>
      <w:r w:rsidR="00B25EEA">
        <w:t>weakened</w:t>
      </w:r>
      <w:r>
        <w:t xml:space="preserve"> immune systems</w:t>
      </w:r>
      <w:r w:rsidR="004033B3">
        <w:t>.</w:t>
      </w:r>
      <w:r>
        <w:rPr>
          <w:rStyle w:val="FootnoteReference"/>
        </w:rPr>
        <w:footnoteReference w:id="1"/>
      </w:r>
      <w:r w:rsidR="00E57C2B" w:rsidRPr="00E57C2B">
        <w:rPr>
          <w:vertAlign w:val="superscript"/>
        </w:rPr>
        <w:t>,</w:t>
      </w:r>
      <w:r w:rsidR="00E57C2B" w:rsidRPr="00E57C2B">
        <w:rPr>
          <w:rStyle w:val="FootnoteReference"/>
        </w:rPr>
        <w:t xml:space="preserve"> </w:t>
      </w:r>
      <w:r>
        <w:rPr>
          <w:rStyle w:val="FootnoteReference"/>
        </w:rPr>
        <w:footnoteReference w:id="2"/>
      </w:r>
    </w:p>
    <w:p w:rsidR="00917236" w:rsidRDefault="00FA31F2" w:rsidP="00917236">
      <w:pPr>
        <w:pStyle w:val="BodytextAgency"/>
      </w:pPr>
      <w:r>
        <w:t xml:space="preserve">Although there is no direct evidence that the ability to produce antibodies in these patients protected against COVID-19, </w:t>
      </w:r>
      <w:r w:rsidR="007E416A">
        <w:t xml:space="preserve">it is </w:t>
      </w:r>
      <w:r w:rsidR="00B47B88">
        <w:t>expected</w:t>
      </w:r>
      <w:r w:rsidR="007E416A">
        <w:t xml:space="preserve"> that </w:t>
      </w:r>
      <w:r w:rsidR="000E41B5">
        <w:t>the extra</w:t>
      </w:r>
      <w:r w:rsidR="007E416A">
        <w:t xml:space="preserve"> dose </w:t>
      </w:r>
      <w:r w:rsidR="00B47B88">
        <w:t xml:space="preserve">would </w:t>
      </w:r>
      <w:r w:rsidR="007E416A">
        <w:t xml:space="preserve">increase protection </w:t>
      </w:r>
      <w:r w:rsidR="00B47B88">
        <w:t xml:space="preserve">at least </w:t>
      </w:r>
      <w:r w:rsidR="007E416A">
        <w:t xml:space="preserve">in some patients. </w:t>
      </w:r>
      <w:r w:rsidR="00CF028F">
        <w:t>EMA</w:t>
      </w:r>
      <w:r>
        <w:t xml:space="preserve"> </w:t>
      </w:r>
      <w:r w:rsidR="007E416A">
        <w:t>will</w:t>
      </w:r>
      <w:r w:rsidR="00456700">
        <w:t xml:space="preserve"> </w:t>
      </w:r>
      <w:r w:rsidR="00C52DFD">
        <w:t>continue monitoring</w:t>
      </w:r>
      <w:r w:rsidR="000E41B5">
        <w:t xml:space="preserve"> any</w:t>
      </w:r>
      <w:r w:rsidR="00C52DFD">
        <w:t xml:space="preserve"> </w:t>
      </w:r>
      <w:r w:rsidR="000E41B5">
        <w:t xml:space="preserve">data that </w:t>
      </w:r>
      <w:r w:rsidR="00C52DFD">
        <w:t>emerg</w:t>
      </w:r>
      <w:r w:rsidR="000E41B5">
        <w:t>es</w:t>
      </w:r>
      <w:r w:rsidR="00C52DFD">
        <w:t xml:space="preserve"> </w:t>
      </w:r>
      <w:r w:rsidR="000E41B5">
        <w:t>on</w:t>
      </w:r>
      <w:r w:rsidR="00E2467C">
        <w:t xml:space="preserve"> its</w:t>
      </w:r>
      <w:r w:rsidR="004A6531">
        <w:t xml:space="preserve"> effectiveness.</w:t>
      </w:r>
    </w:p>
    <w:p w:rsidR="0055176F" w:rsidRDefault="00FA31F2" w:rsidP="00917236">
      <w:pPr>
        <w:pStyle w:val="BodytextAgency"/>
      </w:pPr>
      <w:r>
        <w:t xml:space="preserve">The product information of </w:t>
      </w:r>
      <w:r w:rsidR="00CB6AEF">
        <w:t xml:space="preserve">both </w:t>
      </w:r>
      <w:r>
        <w:t>vaccines will be updated to include this recommendation.</w:t>
      </w:r>
    </w:p>
    <w:p w:rsidR="00917236" w:rsidRDefault="00FA31F2" w:rsidP="00917236">
      <w:pPr>
        <w:pStyle w:val="No-numheading5Agency"/>
      </w:pPr>
      <w:r>
        <w:t>Booster doses</w:t>
      </w:r>
    </w:p>
    <w:p w:rsidR="00917236" w:rsidRDefault="00FA31F2" w:rsidP="00917236">
      <w:pPr>
        <w:pStyle w:val="BodytextAgency"/>
        <w:rPr>
          <w:color w:val="000000"/>
        </w:rPr>
      </w:pPr>
      <w:r>
        <w:t>It is important to distinguish between</w:t>
      </w:r>
      <w:r w:rsidR="00456700">
        <w:t xml:space="preserve"> </w:t>
      </w:r>
      <w:r w:rsidR="000E41B5">
        <w:t xml:space="preserve">the extra </w:t>
      </w:r>
      <w:r w:rsidRPr="00917236">
        <w:t xml:space="preserve">dose for </w:t>
      </w:r>
      <w:r>
        <w:t>people with wea</w:t>
      </w:r>
      <w:r w:rsidRPr="00917236">
        <w:t>kened immune systems</w:t>
      </w:r>
      <w:r>
        <w:t xml:space="preserve"> and </w:t>
      </w:r>
      <w:r>
        <w:rPr>
          <w:color w:val="000000"/>
        </w:rPr>
        <w:t>booster doses for people with normal immune systems.</w:t>
      </w:r>
    </w:p>
    <w:p w:rsidR="00E57C2B" w:rsidRDefault="00FA31F2" w:rsidP="00917236">
      <w:pPr>
        <w:pStyle w:val="BodytextAgency"/>
      </w:pPr>
      <w:r>
        <w:rPr>
          <w:color w:val="000000"/>
        </w:rPr>
        <w:t>For the latter, the CHMP has evaluated data</w:t>
      </w:r>
      <w:r w:rsidR="00B958C3">
        <w:rPr>
          <w:color w:val="000000"/>
        </w:rPr>
        <w:t xml:space="preserve"> </w:t>
      </w:r>
      <w:r>
        <w:rPr>
          <w:color w:val="000000"/>
        </w:rPr>
        <w:t xml:space="preserve">for </w:t>
      </w:r>
      <w:r w:rsidRPr="00701C00">
        <w:t>Comirnaty</w:t>
      </w:r>
      <w:r>
        <w:t xml:space="preserve"> </w:t>
      </w:r>
      <w:r w:rsidR="00CC6225">
        <w:t xml:space="preserve">showing a rise in antibody levels when a booster dose </w:t>
      </w:r>
      <w:r w:rsidR="00B84283">
        <w:t xml:space="preserve">is </w:t>
      </w:r>
      <w:r w:rsidR="00CC6225">
        <w:t xml:space="preserve">given </w:t>
      </w:r>
      <w:r w:rsidR="00BB1BEE">
        <w:t>approximately 6</w:t>
      </w:r>
      <w:r w:rsidR="00CC6225">
        <w:t xml:space="preserve"> months after the second dose</w:t>
      </w:r>
      <w:r w:rsidR="008C1AD1">
        <w:t xml:space="preserve"> in </w:t>
      </w:r>
      <w:r w:rsidR="00B25EEA">
        <w:t xml:space="preserve">people from </w:t>
      </w:r>
      <w:r w:rsidR="008C1AD1">
        <w:t>18 to 55 years old</w:t>
      </w:r>
      <w:r w:rsidR="00CC6225">
        <w:t xml:space="preserve">. </w:t>
      </w:r>
      <w:r w:rsidR="004A6531">
        <w:t>On the basis of this data, t</w:t>
      </w:r>
      <w:r w:rsidR="00B958C3">
        <w:t xml:space="preserve">he Committee </w:t>
      </w:r>
      <w:r>
        <w:t>concluded that booster doses may be consider</w:t>
      </w:r>
      <w:r w:rsidR="00534FB1">
        <w:t xml:space="preserve">ed </w:t>
      </w:r>
      <w:r w:rsidR="00B25EEA">
        <w:t xml:space="preserve">at least 6 months after the second dose </w:t>
      </w:r>
      <w:r w:rsidR="00534FB1">
        <w:t xml:space="preserve">for people aged 18 years and older. </w:t>
      </w:r>
    </w:p>
    <w:p w:rsidR="00977EDC" w:rsidRDefault="00FA31F2" w:rsidP="00977EDC">
      <w:pPr>
        <w:pStyle w:val="BodytextAgency"/>
      </w:pPr>
      <w:r>
        <w:t>The use of booster doses will follow official recommendations at national level as defined by public health bodies, taking into account emerging effectiveness data and any uncertainties about safety.</w:t>
      </w:r>
      <w:r w:rsidRPr="002610F4">
        <w:t xml:space="preserve"> </w:t>
      </w:r>
      <w:r>
        <w:t xml:space="preserve">The risk of </w:t>
      </w:r>
      <w:r w:rsidRPr="004A16B9">
        <w:t>inflammatory heart</w:t>
      </w:r>
      <w:r>
        <w:t xml:space="preserve"> </w:t>
      </w:r>
      <w:r w:rsidRPr="004A16B9">
        <w:t xml:space="preserve">conditions </w:t>
      </w:r>
      <w:r>
        <w:t>or other very rare side effects</w:t>
      </w:r>
      <w:r w:rsidRPr="004A16B9">
        <w:t xml:space="preserve"> </w:t>
      </w:r>
      <w:r>
        <w:t>after a booster is not known and is being carefully monitored. As for all medicines, EMA will continue to look at all data on the safety and effectiveness of the vaccine.</w:t>
      </w:r>
    </w:p>
    <w:p w:rsidR="00917236" w:rsidRDefault="00FA31F2" w:rsidP="00917236">
      <w:pPr>
        <w:pStyle w:val="BodytextAgency"/>
      </w:pPr>
      <w:r>
        <w:lastRenderedPageBreak/>
        <w:t>More information about the booster recommendations for</w:t>
      </w:r>
      <w:r w:rsidRPr="00456700">
        <w:t xml:space="preserve"> </w:t>
      </w:r>
      <w:r w:rsidRPr="00E57C2B">
        <w:t xml:space="preserve">Comirnaty </w:t>
      </w:r>
      <w:r w:rsidR="00B25EEA">
        <w:t>will be</w:t>
      </w:r>
      <w:r w:rsidR="00B25EEA" w:rsidRPr="00E57C2B">
        <w:t xml:space="preserve"> </w:t>
      </w:r>
      <w:r w:rsidRPr="00E57C2B">
        <w:t>avail</w:t>
      </w:r>
      <w:bookmarkStart w:id="2" w:name="_GoBack"/>
      <w:bookmarkEnd w:id="2"/>
      <w:r w:rsidRPr="00E57C2B">
        <w:t>able</w:t>
      </w:r>
      <w:r>
        <w:t xml:space="preserve"> in the updated product information.</w:t>
      </w:r>
    </w:p>
    <w:p w:rsidR="001535AF" w:rsidRDefault="00FA31F2" w:rsidP="00917236">
      <w:pPr>
        <w:pStyle w:val="BodytextAgency"/>
      </w:pPr>
      <w:r>
        <w:t xml:space="preserve">The Committee is currently evaluating data </w:t>
      </w:r>
      <w:r w:rsidR="003352BF">
        <w:t xml:space="preserve">to support a booster dose </w:t>
      </w:r>
      <w:r w:rsidR="00AC4D89">
        <w:t>for</w:t>
      </w:r>
      <w:r>
        <w:t xml:space="preserve"> </w:t>
      </w:r>
      <w:proofErr w:type="spellStart"/>
      <w:r>
        <w:t>Spikevax</w:t>
      </w:r>
      <w:proofErr w:type="spellEnd"/>
      <w:r>
        <w:t>. EMA will communicate the outcome when the evaluation is complete.</w:t>
      </w:r>
      <w:r w:rsidR="004A6531">
        <w:t xml:space="preserve"> </w:t>
      </w:r>
    </w:p>
    <w:p w:rsidR="008F1308" w:rsidRDefault="00FA31F2">
      <w:pPr>
        <w:pStyle w:val="No-numheading5Agency"/>
      </w:pPr>
      <w:r>
        <w:t>National immunisation campaigns</w:t>
      </w:r>
    </w:p>
    <w:p w:rsidR="008F1308" w:rsidRDefault="00FA31F2">
      <w:pPr>
        <w:pStyle w:val="BodytextAgency"/>
      </w:pPr>
      <w:r>
        <w:t>The implementation of</w:t>
      </w:r>
      <w:r w:rsidRPr="00456700">
        <w:t xml:space="preserve"> vaccination</w:t>
      </w:r>
      <w:r>
        <w:t xml:space="preserve"> campaigns in the EU</w:t>
      </w:r>
      <w:r w:rsidRPr="00456700">
        <w:t xml:space="preserve"> remains the prerogative of the national immunisation technical advisory groups (NITAGs) guiding the vaccination campaigns in each EU Member State. These bodies are best placed to take into account the local conditions, including the spread of the virus (especially any variants of concern), the availability of vaccines and the capacities of national health systems.</w:t>
      </w:r>
    </w:p>
    <w:p w:rsidR="004A6531" w:rsidRDefault="00FA31F2">
      <w:pPr>
        <w:pStyle w:val="BodytextAgency"/>
      </w:pPr>
      <w:r>
        <w:t xml:space="preserve">EMA will continue working closely with national authorities and the </w:t>
      </w:r>
      <w:r w:rsidR="00085F1D" w:rsidRPr="00085F1D">
        <w:t>European Centre for Disease Prevention and Control (ECDC)</w:t>
      </w:r>
      <w:r w:rsidR="00085F1D">
        <w:t xml:space="preserve"> to evaluate available data and provide recommendations to protect the public during the ongoing pandemic.</w:t>
      </w:r>
    </w:p>
    <w:sectPr w:rsidR="004A6531" w:rsidSect="007D1768">
      <w:headerReference w:type="even" r:id="rId8"/>
      <w:headerReference w:type="default" r:id="rId9"/>
      <w:footerReference w:type="even" r:id="rId10"/>
      <w:footerReference w:type="default" r:id="rId11"/>
      <w:headerReference w:type="first" r:id="rId12"/>
      <w:footerReference w:type="first" r:id="rId13"/>
      <w:pgSz w:w="11907" w:h="16839" w:code="9"/>
      <w:pgMar w:top="1418" w:right="1247" w:bottom="1418" w:left="1247" w:header="284" w:footer="68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150" w:rsidRDefault="00FA31F2">
      <w:r>
        <w:separator/>
      </w:r>
    </w:p>
  </w:endnote>
  <w:endnote w:type="continuationSeparator" w:id="0">
    <w:p w:rsidR="00575150" w:rsidRDefault="00FA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B1" w:rsidRDefault="00534F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B1" w:rsidRDefault="00FA31F2">
    <w:pPr>
      <w:pStyle w:val="FooterAgency"/>
    </w:pPr>
    <w:r>
      <w:rPr>
        <w:noProof/>
        <w:lang w:val="en-US" w:eastAsia="en-US"/>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10235565</wp:posOffset>
              </wp:positionV>
              <wp:extent cx="7560945" cy="266700"/>
              <wp:effectExtent l="0" t="0" r="1905" b="3810"/>
              <wp:wrapNone/>
              <wp:docPr id="4" name="MSIPCM63114f02af7325863d315465" descr="{&quot;HashCode&quot;:83520844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FB1" w:rsidRPr="004F5EFB" w:rsidRDefault="00534FB1" w:rsidP="004F5EFB">
                          <w:pPr>
                            <w:jc w:val="center"/>
                            <w:rPr>
                              <w:color w:val="737373"/>
                              <w:sz w:val="14"/>
                            </w:rPr>
                          </w:pPr>
                        </w:p>
                      </w:txbxContent>
                    </wps:txbx>
                    <wps:bodyPr rot="0" vert="horz" wrap="square" lIns="91440" tIns="0" rIns="91440" bIns="0" anchor="b" anchorCtr="0" upright="1"/>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63114f02af7325863d315465" o:spid="_x0000_s1026" type="#_x0000_t202" alt="{&quot;HashCode&quot;:835208440,&quot;Height&quot;:841.0,&quot;Width&quot;:595.0,&quot;Placement&quot;:&quot;Footer&quot;,&quot;Index&quot;:&quot;Primary&quot;,&quot;Section&quot;:1,&quot;Top&quot;:0.0,&quot;Left&quot;:0.0}" style="position:absolute;margin-left:0;margin-top:805.95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" o:allowincell="f" filled="f" stroked="f">
              <v:textbox inset=",0,,0">
                <w:txbxContent>
                  <w:p w:rsidR="00534FB1" w:rsidRPr="004F5EFB" w:rsidRDefault="00534FB1" w:rsidP="004F5EFB">
                    <w:pPr>
                      <w:jc w:val="center"/>
                      <w:rPr>
                        <w:color w:val="737373"/>
                        <w:sz w:val="14"/>
                      </w:rPr>
                    </w:pPr>
                  </w:p>
                </w:txbxContent>
              </v:textbox>
              <w10:wrap anchorx="page" anchory="page"/>
            </v:shape>
          </w:pict>
        </mc:Fallback>
      </mc:AlternateContent>
    </w:r>
  </w:p>
  <w:tbl>
    <w:tblPr>
      <w:tblW w:w="5000" w:type="pct"/>
      <w:tblLook w:val="01E0" w:firstRow="1" w:lastRow="1" w:firstColumn="1" w:lastColumn="1" w:noHBand="0" w:noVBand="0"/>
    </w:tblPr>
    <w:tblGrid>
      <w:gridCol w:w="6196"/>
      <w:gridCol w:w="3217"/>
    </w:tblGrid>
    <w:tr w:rsidR="00B837AF">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534FB1" w:rsidRPr="00A44B87" w:rsidRDefault="00534FB1">
          <w:pPr>
            <w:pStyle w:val="FooterAgency"/>
          </w:pPr>
        </w:p>
      </w:tc>
    </w:tr>
    <w:tr w:rsidR="00B837AF">
      <w:tc>
        <w:tcPr>
          <w:tcW w:w="3291" w:type="pct"/>
          <w:shd w:val="clear" w:color="auto" w:fill="auto"/>
          <w:tcMar>
            <w:left w:w="0" w:type="dxa"/>
            <w:right w:w="0" w:type="dxa"/>
          </w:tcMar>
        </w:tcPr>
        <w:p w:rsidR="00534FB1" w:rsidRPr="00A44B87" w:rsidRDefault="00FA31F2">
          <w:pPr>
            <w:pStyle w:val="FooterAgency"/>
          </w:pPr>
          <w:r w:rsidRPr="00390AC0">
            <w:rPr>
              <w:szCs w:val="15"/>
            </w:rPr>
            <w:fldChar w:fldCharType="begin"/>
          </w:r>
          <w:r w:rsidRPr="00390AC0">
            <w:rPr>
              <w:szCs w:val="15"/>
            </w:rPr>
            <w:instrText xml:space="preserve"> IF </w:instrText>
          </w:r>
          <w:r w:rsidR="00CF028F">
            <w:fldChar w:fldCharType="begin"/>
          </w:r>
          <w:r>
            <w:instrText xml:space="preserve"> STYLEREF  "Doc title (Agency)"  \* MERGEFORMAT </w:instrText>
          </w:r>
          <w:r w:rsidR="00CF028F">
            <w:fldChar w:fldCharType="separate"/>
          </w:r>
          <w:r w:rsidR="00BC14EC" w:rsidRPr="00BC14EC">
            <w:rPr>
              <w:b/>
              <w:bCs/>
              <w:noProof/>
              <w:lang w:val="en-US"/>
            </w:rPr>
            <w:instrText>Comirnaty and</w:instrText>
          </w:r>
          <w:r w:rsidR="00BC14EC">
            <w:rPr>
              <w:noProof/>
            </w:rPr>
            <w:instrText xml:space="preserve"> Spikevax: EMA recommendations on extra doses and boosters</w:instrText>
          </w:r>
          <w:r w:rsidR="00CF028F">
            <w:rPr>
              <w:noProof/>
            </w:rPr>
            <w:fldChar w:fldCharType="end"/>
          </w:r>
          <w:r w:rsidRPr="00390AC0">
            <w:rPr>
              <w:szCs w:val="15"/>
            </w:rPr>
            <w:instrText xml:space="preserve"> &lt;&gt; "Error*"</w:instrText>
          </w:r>
          <w:r w:rsidR="00CF028F">
            <w:fldChar w:fldCharType="begin"/>
          </w:r>
          <w:r>
            <w:instrText xml:space="preserve"> STYLEREF  "Doc title (Agency)"  \* MERGEFORMAT </w:instrText>
          </w:r>
          <w:r w:rsidR="00CF028F">
            <w:fldChar w:fldCharType="separate"/>
          </w:r>
          <w:r w:rsidR="00BC14EC">
            <w:rPr>
              <w:noProof/>
            </w:rPr>
            <w:instrText>Comirnaty and Spikevax: EMA recommendations on extra doses and boosters</w:instrText>
          </w:r>
          <w:r w:rsidR="00CF028F">
            <w:rPr>
              <w:noProof/>
            </w:rPr>
            <w:fldChar w:fldCharType="end"/>
          </w:r>
          <w:r w:rsidRPr="00390AC0">
            <w:rPr>
              <w:szCs w:val="15"/>
            </w:rPr>
            <w:instrText xml:space="preserve"> \* MERGEFORMAT </w:instrText>
          </w:r>
          <w:r w:rsidRPr="00390AC0">
            <w:rPr>
              <w:szCs w:val="15"/>
            </w:rPr>
            <w:fldChar w:fldCharType="separate"/>
          </w:r>
          <w:r w:rsidR="00BC14EC">
            <w:rPr>
              <w:noProof/>
            </w:rPr>
            <w:t>Comirnaty and Spikevax: EMA recommendations on extra doses and boosters</w:t>
          </w:r>
          <w:r w:rsidRPr="00390AC0">
            <w:rPr>
              <w:szCs w:val="15"/>
            </w:rPr>
            <w:fldChar w:fldCharType="end"/>
          </w:r>
          <w:r w:rsidRPr="00390AC0">
            <w:rPr>
              <w:szCs w:val="15"/>
            </w:rPr>
            <w:t xml:space="preserve"> </w:t>
          </w:r>
        </w:p>
      </w:tc>
      <w:tc>
        <w:tcPr>
          <w:tcW w:w="1709" w:type="pct"/>
          <w:shd w:val="clear" w:color="auto" w:fill="auto"/>
          <w:tcMar>
            <w:left w:w="0" w:type="dxa"/>
            <w:right w:w="0" w:type="dxa"/>
          </w:tcMar>
        </w:tcPr>
        <w:p w:rsidR="00534FB1" w:rsidRPr="00A44B87" w:rsidRDefault="00534FB1">
          <w:pPr>
            <w:pStyle w:val="FooterAgency"/>
          </w:pPr>
        </w:p>
      </w:tc>
    </w:tr>
    <w:tr w:rsidR="00B837AF">
      <w:tc>
        <w:tcPr>
          <w:tcW w:w="3291" w:type="pct"/>
          <w:shd w:val="clear" w:color="auto" w:fill="auto"/>
          <w:tcMar>
            <w:left w:w="0" w:type="dxa"/>
            <w:right w:w="0" w:type="dxa"/>
          </w:tcMar>
        </w:tcPr>
        <w:p w:rsidR="00534FB1" w:rsidRPr="00A44B87" w:rsidRDefault="00FA31F2">
          <w:pPr>
            <w:pStyle w:val="FooterAgency"/>
          </w:pPr>
          <w:r w:rsidRPr="00390AC0">
            <w:rPr>
              <w:szCs w:val="15"/>
            </w:rPr>
            <w:fldChar w:fldCharType="begin"/>
          </w:r>
          <w:r w:rsidRPr="00390AC0">
            <w:rPr>
              <w:szCs w:val="15"/>
            </w:rPr>
            <w:instrText xml:space="preserve"> IF </w:instrText>
          </w:r>
          <w:fldSimple w:instr=" DOCPROPERTY &quot;DM_emea_doc_ref_id&quot;  \* MERGEFORMAT ">
            <w:r>
              <w:rPr>
                <w:b/>
                <w:bCs/>
                <w:lang w:val="en-US"/>
              </w:rPr>
              <w:instrText>EMA/553891/2021</w:instrText>
            </w:r>
          </w:fldSimple>
          <w:r w:rsidRPr="00390AC0">
            <w:rPr>
              <w:szCs w:val="15"/>
            </w:rPr>
            <w:instrText xml:space="preserve"> &lt;&gt; "Error*"</w:instrText>
          </w:r>
          <w:fldSimple w:instr=" DOCPROPERTY &quot;DM_emea_doc_ref_id&quot;  \* MERGEFORMAT ">
            <w:r>
              <w:instrText>EMA/553891/2021</w:instrText>
            </w:r>
          </w:fldSimple>
          <w:r w:rsidRPr="00390AC0">
            <w:rPr>
              <w:szCs w:val="15"/>
            </w:rPr>
            <w:instrText xml:space="preserve"> \* MERGEFORMAT </w:instrText>
          </w:r>
          <w:r w:rsidRPr="00390AC0">
            <w:rPr>
              <w:szCs w:val="15"/>
            </w:rPr>
            <w:fldChar w:fldCharType="separate"/>
          </w:r>
          <w:r>
            <w:t>EMA/553891/2021</w:t>
          </w:r>
          <w:r w:rsidRPr="00390AC0">
            <w:rPr>
              <w:szCs w:val="15"/>
            </w:rPr>
            <w:fldChar w:fldCharType="end"/>
          </w:r>
          <w:r w:rsidRPr="00390AC0">
            <w:rPr>
              <w:szCs w:val="15"/>
            </w:rPr>
            <w:t xml:space="preserve"> </w:t>
          </w:r>
        </w:p>
      </w:tc>
      <w:tc>
        <w:tcPr>
          <w:tcW w:w="1709" w:type="pct"/>
          <w:shd w:val="clear" w:color="auto" w:fill="auto"/>
          <w:tcMar>
            <w:left w:w="0" w:type="dxa"/>
            <w:right w:w="0" w:type="dxa"/>
          </w:tcMar>
        </w:tcPr>
        <w:p w:rsidR="00534FB1" w:rsidRPr="000955BF" w:rsidRDefault="00FA31F2">
          <w:pPr>
            <w:jc w:val="right"/>
            <w:rPr>
              <w:rStyle w:val="PageNumberAgency0"/>
            </w:rPr>
          </w:pPr>
          <w:r w:rsidRPr="000955BF">
            <w:rPr>
              <w:rStyle w:val="PageNumberAgency0"/>
            </w:rPr>
            <w:t xml:space="preserve">Page </w:t>
          </w:r>
          <w:r w:rsidRPr="000955BF">
            <w:rPr>
              <w:rStyle w:val="PageNumberAgency0"/>
            </w:rPr>
            <w:fldChar w:fldCharType="begin"/>
          </w:r>
          <w:r w:rsidRPr="000955BF">
            <w:rPr>
              <w:rStyle w:val="PageNumberAgency0"/>
            </w:rPr>
            <w:instrText xml:space="preserve"> PAGE </w:instrText>
          </w:r>
          <w:r w:rsidRPr="000955BF">
            <w:rPr>
              <w:rStyle w:val="PageNumberAgency0"/>
            </w:rPr>
            <w:fldChar w:fldCharType="separate"/>
          </w:r>
          <w:r w:rsidR="00BC14EC">
            <w:rPr>
              <w:rStyle w:val="PageNumberAgency0"/>
              <w:noProof/>
            </w:rPr>
            <w:t>2</w:t>
          </w:r>
          <w:r w:rsidRPr="000955BF">
            <w:rPr>
              <w:rStyle w:val="PageNumberAgency0"/>
            </w:rPr>
            <w:fldChar w:fldCharType="end"/>
          </w:r>
          <w:r w:rsidRPr="000955BF">
            <w:rPr>
              <w:rStyle w:val="PageNumberAgency0"/>
            </w:rPr>
            <w:t>/</w:t>
          </w:r>
          <w:r w:rsidRPr="000955BF">
            <w:rPr>
              <w:rStyle w:val="PageNumberAgency0"/>
            </w:rPr>
            <w:fldChar w:fldCharType="begin"/>
          </w:r>
          <w:r w:rsidRPr="000955BF">
            <w:rPr>
              <w:rStyle w:val="PageNumberAgency0"/>
            </w:rPr>
            <w:instrText xml:space="preserve"> NUMPAGES </w:instrText>
          </w:r>
          <w:r w:rsidRPr="000955BF">
            <w:rPr>
              <w:rStyle w:val="PageNumberAgency0"/>
            </w:rPr>
            <w:fldChar w:fldCharType="separate"/>
          </w:r>
          <w:r w:rsidR="00BC14EC">
            <w:rPr>
              <w:rStyle w:val="PageNumberAgency0"/>
              <w:noProof/>
            </w:rPr>
            <w:t>2</w:t>
          </w:r>
          <w:r w:rsidRPr="000955BF">
            <w:rPr>
              <w:rStyle w:val="PageNumberAgency0"/>
            </w:rPr>
            <w:fldChar w:fldCharType="end"/>
          </w:r>
        </w:p>
      </w:tc>
    </w:tr>
  </w:tbl>
  <w:p w:rsidR="00534FB1" w:rsidRDefault="00534FB1">
    <w:pPr>
      <w:pStyle w:val="NormalAgency"/>
    </w:pPr>
  </w:p>
  <w:p w:rsidR="00534FB1" w:rsidRDefault="00534FB1" w:rsidP="007D1768">
    <w:pPr>
      <w:pStyle w:val="FooterAgency"/>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9413"/>
    </w:tblGrid>
    <w:tr w:rsidR="00B837AF" w:rsidTr="00DD5899">
      <w:tc>
        <w:tcPr>
          <w:tcW w:w="9413" w:type="dxa"/>
          <w:tcBorders>
            <w:top w:val="single" w:sz="2" w:space="0" w:color="auto"/>
            <w:left w:val="nil"/>
            <w:bottom w:val="nil"/>
            <w:right w:val="nil"/>
            <w:tl2br w:val="nil"/>
            <w:tr2bl w:val="nil"/>
          </w:tcBorders>
          <w:shd w:val="clear" w:color="auto" w:fill="auto"/>
          <w:tcMar>
            <w:left w:w="0" w:type="dxa"/>
            <w:right w:w="0" w:type="dxa"/>
          </w:tcMar>
          <w:vAlign w:val="bottom"/>
        </w:tcPr>
        <w:tbl>
          <w:tblPr>
            <w:tblW w:w="5000" w:type="pct"/>
            <w:tblLayout w:type="fixed"/>
            <w:tblLook w:val="01E0" w:firstRow="1" w:lastRow="1" w:firstColumn="1" w:lastColumn="1" w:noHBand="0" w:noVBand="0"/>
          </w:tblPr>
          <w:tblGrid>
            <w:gridCol w:w="6521"/>
            <w:gridCol w:w="2892"/>
          </w:tblGrid>
          <w:tr w:rsidR="00B837AF" w:rsidTr="00DD5899">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534FB1" w:rsidRPr="00A44B87" w:rsidRDefault="00FA31F2" w:rsidP="00DD5899">
                <w:pPr>
                  <w:pStyle w:val="FooterAgency"/>
                </w:pP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10235565</wp:posOffset>
                          </wp:positionV>
                          <wp:extent cx="7560945" cy="266700"/>
                          <wp:effectExtent l="0" t="0" r="1905" b="3810"/>
                          <wp:wrapNone/>
                          <wp:docPr id="3" name="MSIPCM3f004447abaea711771b6787" descr="{&quot;HashCode&quot;:835208440,&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FB1" w:rsidRPr="004F5EFB" w:rsidRDefault="00534FB1" w:rsidP="004F5EFB">
                                      <w:pPr>
                                        <w:jc w:val="center"/>
                                        <w:rPr>
                                          <w:color w:val="737373"/>
                                          <w:sz w:val="14"/>
                                        </w:rPr>
                                      </w:pPr>
                                    </w:p>
                                  </w:txbxContent>
                                </wps:txbx>
                                <wps:bodyPr rot="0" vert="horz" wrap="square" lIns="91440" tIns="0" rIns="91440" bIns="0" anchor="b" anchorCtr="0" upright="1"/>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3f004447abaea711771b6787" o:spid="_x0000_s1027" type="#_x0000_t202" alt="{&quot;HashCode&quot;:835208440,&quot;Height&quot;:841.0,&quot;Width&quot;:595.0,&quot;Placement&quot;:&quot;Footer&quot;,&quot;Index&quot;:&quot;FirstPage&quot;,&quot;Section&quot;:1,&quot;Top&quot;:0.0,&quot;Left&quot;:0.0}" style="position:absolute;margin-left:0;margin-top:805.95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" o:allowincell="f" filled="f" stroked="f">
                          <v:textbox inset=",0,,0">
                            <w:txbxContent>
                              <w:p w:rsidR="00534FB1" w:rsidRPr="004F5EFB" w:rsidRDefault="00534FB1" w:rsidP="004F5EFB">
                                <w:pPr>
                                  <w:jc w:val="center"/>
                                  <w:rPr>
                                    <w:color w:val="737373"/>
                                    <w:sz w:val="14"/>
                                  </w:rPr>
                                </w:pPr>
                              </w:p>
                            </w:txbxContent>
                          </v:textbox>
                          <w10:wrap anchorx="page" anchory="page"/>
                        </v:shape>
                      </w:pict>
                    </mc:Fallback>
                  </mc:AlternateContent>
                </w:r>
              </w:p>
            </w:tc>
          </w:tr>
          <w:tr w:rsidR="00B837AF" w:rsidTr="00DD5899">
            <w:trPr>
              <w:trHeight w:hRule="exact" w:val="198"/>
            </w:trPr>
            <w:tc>
              <w:tcPr>
                <w:tcW w:w="6521" w:type="dxa"/>
                <w:shd w:val="clear" w:color="auto" w:fill="auto"/>
                <w:tcMar>
                  <w:left w:w="0" w:type="dxa"/>
                  <w:right w:w="0" w:type="dxa"/>
                </w:tcMar>
                <w:vAlign w:val="bottom"/>
              </w:tcPr>
              <w:p w:rsidR="00534FB1" w:rsidRPr="003A07BE" w:rsidRDefault="00FA31F2" w:rsidP="00DD5899">
                <w:pPr>
                  <w:pStyle w:val="FooterAgency"/>
                </w:pPr>
                <w:r>
                  <w:rPr>
                    <w:b/>
                    <w:color w:val="003399"/>
                    <w:sz w:val="13"/>
                  </w:rPr>
                  <w:t>Official address</w:t>
                </w:r>
                <w:r>
                  <w:t xml:space="preserve">  Domenico </w:t>
                </w:r>
                <w:proofErr w:type="spellStart"/>
                <w:r>
                  <w:t>Scarlattilaan</w:t>
                </w:r>
                <w:proofErr w:type="spellEnd"/>
                <w:r>
                  <w:t xml:space="preserve"> 6 </w:t>
                </w:r>
                <w:r w:rsidRPr="003A07BE">
                  <w:t xml:space="preserve"> </w:t>
                </w:r>
                <w:r w:rsidRPr="00696743">
                  <w:rPr>
                    <w:rStyle w:val="FooterblueAgencyCharChar"/>
                  </w:rPr>
                  <w:t>●</w:t>
                </w:r>
                <w:r w:rsidRPr="003A07BE">
                  <w:t xml:space="preserve"> </w:t>
                </w:r>
                <w:r>
                  <w:t xml:space="preserve"> 1083 HS Amsterdam</w:t>
                </w:r>
                <w:r w:rsidRPr="003A07BE">
                  <w:t xml:space="preserve"> </w:t>
                </w:r>
                <w:r>
                  <w:t xml:space="preserve"> </w:t>
                </w:r>
                <w:r w:rsidRPr="00696743">
                  <w:rPr>
                    <w:rStyle w:val="FooterblueAgencyCharChar"/>
                  </w:rPr>
                  <w:t>●</w:t>
                </w:r>
                <w:r w:rsidRPr="003A07BE">
                  <w:t xml:space="preserve"> </w:t>
                </w:r>
                <w:r>
                  <w:t xml:space="preserve"> The Netherlands</w:t>
                </w:r>
              </w:p>
            </w:tc>
            <w:tc>
              <w:tcPr>
                <w:tcW w:w="2892"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183"/>
                  <w:gridCol w:w="709"/>
                </w:tblGrid>
                <w:tr w:rsidR="00B837AF" w:rsidTr="00DD5899">
                  <w:trPr>
                    <w:trHeight w:val="180"/>
                    <w:tblHeader/>
                    <w:jc w:val="right"/>
                  </w:trPr>
                  <w:tc>
                    <w:tcPr>
                      <w:tcW w:w="2183" w:type="dxa"/>
                      <w:vMerge w:val="restart"/>
                      <w:tcBorders>
                        <w:top w:val="nil"/>
                        <w:left w:val="nil"/>
                        <w:bottom w:val="nil"/>
                        <w:right w:val="nil"/>
                        <w:tl2br w:val="nil"/>
                        <w:tr2bl w:val="nil"/>
                      </w:tcBorders>
                      <w:shd w:val="clear" w:color="auto" w:fill="auto"/>
                      <w:vAlign w:val="bottom"/>
                    </w:tcPr>
                    <w:p w:rsidR="00534FB1" w:rsidRPr="00A44B87" w:rsidRDefault="00FA31F2" w:rsidP="00DD5899">
                      <w:pPr>
                        <w:pStyle w:val="FooterAgency"/>
                        <w:jc w:val="right"/>
                      </w:pPr>
                      <w:r w:rsidRPr="00390AC0">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rsidR="00534FB1" w:rsidRPr="00A44B87" w:rsidRDefault="00FA31F2" w:rsidP="00DD5899">
                      <w:pPr>
                        <w:pStyle w:val="FooterAgency"/>
                        <w:jc w:val="right"/>
                      </w:pPr>
                      <w:r w:rsidRPr="001C68B8">
                        <w:rPr>
                          <w:noProof/>
                          <w:lang w:val="en-US" w:eastAsia="en-US"/>
                        </w:rPr>
                        <w:drawing>
                          <wp:inline distT="0" distB="0" distL="0" distR="0">
                            <wp:extent cx="389890" cy="270510"/>
                            <wp:effectExtent l="0" t="0" r="0" b="0"/>
                            <wp:docPr id="2" name="Picture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020617" name="Picture 3" descr="EU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9890" cy="270510"/>
                                    </a:xfrm>
                                    <a:prstGeom prst="rect">
                                      <a:avLst/>
                                    </a:prstGeom>
                                    <a:noFill/>
                                    <a:ln>
                                      <a:noFill/>
                                    </a:ln>
                                  </pic:spPr>
                                </pic:pic>
                              </a:graphicData>
                            </a:graphic>
                          </wp:inline>
                        </w:drawing>
                      </w:r>
                    </w:p>
                  </w:tc>
                </w:tr>
                <w:tr w:rsidR="00B837AF" w:rsidTr="00DD5899">
                  <w:trPr>
                    <w:trHeight w:val="390"/>
                    <w:jc w:val="right"/>
                  </w:trPr>
                  <w:tc>
                    <w:tcPr>
                      <w:tcW w:w="2183" w:type="dxa"/>
                      <w:vMerge/>
                      <w:shd w:val="clear" w:color="auto" w:fill="auto"/>
                    </w:tcPr>
                    <w:p w:rsidR="00534FB1" w:rsidRPr="00A44B87" w:rsidRDefault="00534FB1" w:rsidP="00DD5899">
                      <w:pPr>
                        <w:pStyle w:val="FooterAgency"/>
                      </w:pPr>
                    </w:p>
                  </w:tc>
                  <w:tc>
                    <w:tcPr>
                      <w:tcW w:w="709" w:type="dxa"/>
                      <w:vMerge/>
                      <w:shd w:val="clear" w:color="auto" w:fill="auto"/>
                    </w:tcPr>
                    <w:p w:rsidR="00534FB1" w:rsidRPr="00A44B87" w:rsidRDefault="00534FB1" w:rsidP="00DD5899">
                      <w:pPr>
                        <w:pStyle w:val="FooterAgency"/>
                      </w:pPr>
                    </w:p>
                  </w:tc>
                </w:tr>
              </w:tbl>
              <w:p w:rsidR="00534FB1" w:rsidRPr="00A44B87" w:rsidRDefault="00534FB1" w:rsidP="00DD5899">
                <w:pPr>
                  <w:pStyle w:val="FooterAgency"/>
                  <w:widowControl w:val="0"/>
                  <w:adjustRightInd w:val="0"/>
                  <w:jc w:val="right"/>
                </w:pPr>
              </w:p>
            </w:tc>
          </w:tr>
          <w:tr w:rsidR="00B837AF" w:rsidTr="00DD5899">
            <w:trPr>
              <w:trHeight w:val="390"/>
            </w:trPr>
            <w:tc>
              <w:tcPr>
                <w:tcW w:w="6521" w:type="dxa"/>
                <w:shd w:val="clear" w:color="auto" w:fill="auto"/>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4111"/>
                  <w:gridCol w:w="2410"/>
                </w:tblGrid>
                <w:tr w:rsidR="00B837AF" w:rsidTr="00DD5899">
                  <w:trPr>
                    <w:trHeight w:hRule="exact" w:val="198"/>
                  </w:trPr>
                  <w:tc>
                    <w:tcPr>
                      <w:tcW w:w="6521" w:type="dxa"/>
                      <w:gridSpan w:val="2"/>
                      <w:vAlign w:val="bottom"/>
                    </w:tcPr>
                    <w:p w:rsidR="00534FB1" w:rsidRPr="003A07BE" w:rsidRDefault="00FA31F2" w:rsidP="00DD5899">
                      <w:pPr>
                        <w:pStyle w:val="FooterAgency"/>
                      </w:pPr>
                      <w:r>
                        <w:rPr>
                          <w:b/>
                          <w:color w:val="003399"/>
                          <w:sz w:val="13"/>
                        </w:rPr>
                        <w:t xml:space="preserve">Address for </w:t>
                      </w:r>
                      <w:r w:rsidRPr="002D7278">
                        <w:rPr>
                          <w:b/>
                          <w:color w:val="003399"/>
                          <w:sz w:val="13"/>
                        </w:rPr>
                        <w:t>visits and deliveries</w:t>
                      </w:r>
                      <w:r>
                        <w:t xml:space="preserve">  Refer to </w:t>
                      </w:r>
                      <w:hyperlink r:id="rId2" w:history="1">
                        <w:r w:rsidRPr="000602E7">
                          <w:t>www.ema.europa.eu/how-to-find-us</w:t>
                        </w:r>
                      </w:hyperlink>
                      <w:r>
                        <w:t xml:space="preserve"> </w:t>
                      </w:r>
                    </w:p>
                  </w:tc>
                </w:tr>
                <w:tr w:rsidR="00B837AF" w:rsidTr="00DD5899">
                  <w:trPr>
                    <w:trHeight w:hRule="exact" w:val="198"/>
                  </w:trPr>
                  <w:tc>
                    <w:tcPr>
                      <w:tcW w:w="4111" w:type="dxa"/>
                      <w:vAlign w:val="bottom"/>
                    </w:tcPr>
                    <w:p w:rsidR="00534FB1" w:rsidRPr="00584092" w:rsidRDefault="00FA31F2" w:rsidP="00DD5899">
                      <w:pPr>
                        <w:pStyle w:val="FooterAgency"/>
                      </w:pPr>
                      <w:r w:rsidRPr="00584092">
                        <w:rPr>
                          <w:rStyle w:val="FooterblueAgencyCharChar"/>
                        </w:rPr>
                        <w:t xml:space="preserve">Send </w:t>
                      </w:r>
                      <w:r>
                        <w:rPr>
                          <w:rStyle w:val="FooterblueAgencyCharChar"/>
                        </w:rPr>
                        <w:t xml:space="preserve">us </w:t>
                      </w:r>
                      <w:r w:rsidRPr="00584092">
                        <w:rPr>
                          <w:rStyle w:val="FooterblueAgencyCharChar"/>
                        </w:rPr>
                        <w:t xml:space="preserve">a question </w:t>
                      </w:r>
                      <w:r>
                        <w:rPr>
                          <w:rStyle w:val="FooterblueAgencyCharChar"/>
                        </w:rPr>
                        <w:t xml:space="preserve"> </w:t>
                      </w:r>
                      <w:r w:rsidRPr="00593B10">
                        <w:t xml:space="preserve">Go to </w:t>
                      </w:r>
                      <w:hyperlink r:id="rId3" w:history="1">
                        <w:r w:rsidRPr="000602E7">
                          <w:t>www.ema.europa.eu/contact</w:t>
                        </w:r>
                      </w:hyperlink>
                      <w:r>
                        <w:t xml:space="preserve"> </w:t>
                      </w:r>
                    </w:p>
                  </w:tc>
                  <w:tc>
                    <w:tcPr>
                      <w:tcW w:w="2410" w:type="dxa"/>
                      <w:vAlign w:val="bottom"/>
                    </w:tcPr>
                    <w:p w:rsidR="00534FB1" w:rsidRPr="003A07BE" w:rsidRDefault="00FA31F2" w:rsidP="00DD5899">
                      <w:pPr>
                        <w:pStyle w:val="FooterblueAgency"/>
                      </w:pPr>
                      <w:r>
                        <w:t>Telephone</w:t>
                      </w:r>
                      <w:r>
                        <w:rPr>
                          <w:b w:val="0"/>
                          <w:color w:val="6D6F71"/>
                          <w:sz w:val="14"/>
                        </w:rPr>
                        <w:t xml:space="preserve"> </w:t>
                      </w:r>
                      <w:r w:rsidRPr="00593B10">
                        <w:rPr>
                          <w:b w:val="0"/>
                          <w:color w:val="6D6F71"/>
                          <w:sz w:val="14"/>
                        </w:rPr>
                        <w:t>+31 (0)88 781 600</w:t>
                      </w:r>
                      <w:r>
                        <w:rPr>
                          <w:b w:val="0"/>
                          <w:color w:val="6D6F71"/>
                          <w:sz w:val="14"/>
                        </w:rPr>
                        <w:t>0</w:t>
                      </w:r>
                    </w:p>
                  </w:tc>
                </w:tr>
              </w:tbl>
              <w:p w:rsidR="00534FB1" w:rsidRPr="003A07BE" w:rsidRDefault="00534FB1" w:rsidP="00DD5899">
                <w:pPr>
                  <w:pStyle w:val="FooterAgency"/>
                </w:pPr>
              </w:p>
            </w:tc>
            <w:tc>
              <w:tcPr>
                <w:tcW w:w="2892" w:type="dxa"/>
                <w:vMerge/>
                <w:shd w:val="clear" w:color="auto" w:fill="auto"/>
                <w:tcMar>
                  <w:left w:w="0" w:type="dxa"/>
                  <w:right w:w="0" w:type="dxa"/>
                </w:tcMar>
                <w:vAlign w:val="bottom"/>
              </w:tcPr>
              <w:p w:rsidR="00534FB1" w:rsidRPr="00A44B87" w:rsidRDefault="00534FB1" w:rsidP="00DD5899">
                <w:pPr>
                  <w:pStyle w:val="FooterAgency"/>
                </w:pPr>
              </w:p>
            </w:tc>
          </w:tr>
          <w:tr w:rsidR="00B837AF" w:rsidTr="00DD5899">
            <w:tc>
              <w:tcPr>
                <w:tcW w:w="9413" w:type="dxa"/>
                <w:gridSpan w:val="2"/>
                <w:shd w:val="clear" w:color="auto" w:fill="auto"/>
                <w:tcMar>
                  <w:left w:w="0" w:type="dxa"/>
                  <w:right w:w="0" w:type="dxa"/>
                </w:tcMar>
                <w:vAlign w:val="bottom"/>
              </w:tcPr>
              <w:p w:rsidR="00534FB1" w:rsidRPr="00A44B87" w:rsidRDefault="00534FB1" w:rsidP="00DD5899">
                <w:pPr>
                  <w:pStyle w:val="FooterAgency"/>
                </w:pPr>
              </w:p>
            </w:tc>
          </w:tr>
          <w:tr w:rsidR="00B837AF" w:rsidTr="00DD5899">
            <w:tc>
              <w:tcPr>
                <w:tcW w:w="9413" w:type="dxa"/>
                <w:gridSpan w:val="2"/>
                <w:shd w:val="clear" w:color="auto" w:fill="auto"/>
                <w:tcMar>
                  <w:left w:w="0" w:type="dxa"/>
                  <w:right w:w="0" w:type="dxa"/>
                </w:tcMar>
                <w:vAlign w:val="bottom"/>
              </w:tcPr>
              <w:p w:rsidR="00534FB1" w:rsidRPr="00CE789B" w:rsidRDefault="00FA31F2" w:rsidP="00DD5899">
                <w:pPr>
                  <w:pStyle w:val="FooterAgency"/>
                  <w:jc w:val="center"/>
                </w:pPr>
                <w:r w:rsidRPr="00CE789B">
                  <w:t xml:space="preserve">© European Medicines Agency, </w:t>
                </w:r>
                <w:r>
                  <w:fldChar w:fldCharType="begin"/>
                </w:r>
                <w:r>
                  <w:instrText xml:space="preserve"> DATE  \@ "yyyy"  \* MERGEFORMAT </w:instrText>
                </w:r>
                <w:r>
                  <w:fldChar w:fldCharType="separate"/>
                </w:r>
                <w:r w:rsidR="00BC14EC">
                  <w:rPr>
                    <w:noProof/>
                  </w:rPr>
                  <w:t>2021</w:t>
                </w:r>
                <w:r>
                  <w:fldChar w:fldCharType="end"/>
                </w:r>
                <w:r w:rsidRPr="00CE789B">
                  <w:t>. Reproduction is authorised provided the source is acknowledged.</w:t>
                </w:r>
              </w:p>
            </w:tc>
          </w:tr>
        </w:tbl>
        <w:p w:rsidR="00534FB1" w:rsidRPr="00A44B87" w:rsidRDefault="00534FB1" w:rsidP="00DD5899">
          <w:pPr>
            <w:pStyle w:val="FooterAgency"/>
          </w:pPr>
        </w:p>
      </w:tc>
    </w:tr>
  </w:tbl>
  <w:p w:rsidR="00534FB1" w:rsidRPr="00653E33" w:rsidRDefault="00534FB1" w:rsidP="00653E33">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270" w:rsidRDefault="00FA31F2">
      <w:r>
        <w:separator/>
      </w:r>
    </w:p>
  </w:footnote>
  <w:footnote w:type="continuationSeparator" w:id="0">
    <w:p w:rsidR="00943270" w:rsidRDefault="00FA31F2">
      <w:r>
        <w:continuationSeparator/>
      </w:r>
    </w:p>
  </w:footnote>
  <w:footnote w:id="1">
    <w:p w:rsidR="00E57C2B" w:rsidRPr="00336370" w:rsidRDefault="00FA31F2" w:rsidP="00E57C2B">
      <w:pPr>
        <w:pStyle w:val="FootnoteText"/>
      </w:pPr>
      <w:r>
        <w:rPr>
          <w:rStyle w:val="FootnoteReference"/>
        </w:rPr>
        <w:footnoteRef/>
      </w:r>
      <w:r>
        <w:t xml:space="preserve"> </w:t>
      </w:r>
      <w:proofErr w:type="spellStart"/>
      <w:r w:rsidRPr="007E416A">
        <w:t>Kamar</w:t>
      </w:r>
      <w:proofErr w:type="spellEnd"/>
      <w:r w:rsidRPr="007E416A">
        <w:t xml:space="preserve"> N, </w:t>
      </w:r>
      <w:proofErr w:type="spellStart"/>
      <w:r w:rsidRPr="007E416A">
        <w:t>Abravanel</w:t>
      </w:r>
      <w:proofErr w:type="spellEnd"/>
      <w:r w:rsidRPr="007E416A">
        <w:t xml:space="preserve"> F, Marion O, </w:t>
      </w:r>
      <w:proofErr w:type="spellStart"/>
      <w:r w:rsidRPr="007E416A">
        <w:t>Couat</w:t>
      </w:r>
      <w:proofErr w:type="spellEnd"/>
      <w:r w:rsidRPr="007E416A">
        <w:t xml:space="preserve"> C, </w:t>
      </w:r>
      <w:proofErr w:type="spellStart"/>
      <w:r w:rsidRPr="007E416A">
        <w:t>Izopet</w:t>
      </w:r>
      <w:proofErr w:type="spellEnd"/>
      <w:r w:rsidRPr="007E416A">
        <w:t xml:space="preserve"> J, Del Bello A. Three doses of an mRNA Covid-19 vaccine in solid-organ transplant recipients. </w:t>
      </w:r>
      <w:r w:rsidRPr="00336370">
        <w:t xml:space="preserve">N </w:t>
      </w:r>
      <w:proofErr w:type="spellStart"/>
      <w:r w:rsidRPr="00336370">
        <w:t>Engl</w:t>
      </w:r>
      <w:proofErr w:type="spellEnd"/>
      <w:r w:rsidRPr="00336370">
        <w:t xml:space="preserve"> J Med </w:t>
      </w:r>
      <w:proofErr w:type="gramStart"/>
      <w:r w:rsidRPr="00336370">
        <w:t>2021;385:661</w:t>
      </w:r>
      <w:proofErr w:type="gramEnd"/>
      <w:r w:rsidRPr="00336370">
        <w:t>-662.</w:t>
      </w:r>
    </w:p>
  </w:footnote>
  <w:footnote w:id="2">
    <w:p w:rsidR="00E57C2B" w:rsidRDefault="00FA31F2" w:rsidP="00E57C2B">
      <w:pPr>
        <w:pStyle w:val="FootnoteText"/>
      </w:pPr>
      <w:r>
        <w:rPr>
          <w:rStyle w:val="FootnoteReference"/>
        </w:rPr>
        <w:footnoteRef/>
      </w:r>
      <w:r w:rsidRPr="00336370">
        <w:t xml:space="preserve"> Hall VG, Ferreira VH, Ku T, et al. </w:t>
      </w:r>
      <w:r w:rsidRPr="00B958C3">
        <w:t xml:space="preserve">Randomized trial of a third dose of mRNA-1273 vaccine in transplant recipients. N </w:t>
      </w:r>
      <w:proofErr w:type="spellStart"/>
      <w:r w:rsidRPr="00B958C3">
        <w:t>Engl</w:t>
      </w:r>
      <w:proofErr w:type="spellEnd"/>
      <w:r w:rsidRPr="00B958C3">
        <w:t xml:space="preserve"> J Med </w:t>
      </w:r>
      <w:proofErr w:type="gramStart"/>
      <w:r w:rsidRPr="00B958C3">
        <w:t>2021;385:1244</w:t>
      </w:r>
      <w:proofErr w:type="gramEnd"/>
      <w:r w:rsidRPr="00B958C3">
        <w:t>-1246.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B1" w:rsidRDefault="00534F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B1" w:rsidRDefault="00534F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B1" w:rsidRDefault="00FA31F2">
    <w:pPr>
      <w:pStyle w:val="Header"/>
      <w:jc w:val="center"/>
    </w:pPr>
    <w:r>
      <w:rPr>
        <w:noProof/>
        <w:lang w:val="en-US" w:eastAsia="en-US"/>
      </w:rPr>
      <w:drawing>
        <wp:inline distT="0" distB="0" distL="0" distR="0">
          <wp:extent cx="3554095" cy="180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158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54095" cy="1804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E860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D625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FA62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FA25F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E424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1256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AE96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7846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2A64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746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6D838D2"/>
    <w:lvl w:ilvl="0">
      <w:start w:val="1"/>
      <w:numFmt w:val="upperRoman"/>
      <w:lvlText w:val="%1"/>
      <w:legacy w:legacy="1" w:legacySpace="680" w:legacyIndent="0"/>
      <w:lvlJc w:val="left"/>
      <w:pPr>
        <w:ind w:left="0" w:firstLine="0"/>
      </w:pPr>
    </w:lvl>
    <w:lvl w:ilvl="1">
      <w:start w:val="1"/>
      <w:numFmt w:val="decimal"/>
      <w:lvlText w:val="%2."/>
      <w:legacy w:legacy="1" w:legacySpace="0" w:legacyIndent="680"/>
      <w:lvlJc w:val="left"/>
      <w:pPr>
        <w:ind w:left="680" w:hanging="680"/>
      </w:pPr>
    </w:lvl>
    <w:lvl w:ilvl="2">
      <w:start w:val="1"/>
      <w:numFmt w:val="decimal"/>
      <w:lvlText w:val="3.%3"/>
      <w:legacy w:legacy="1" w:legacySpace="0" w:legacyIndent="680"/>
      <w:lvlJc w:val="left"/>
      <w:pPr>
        <w:ind w:left="1360" w:hanging="680"/>
      </w:pPr>
    </w:lvl>
    <w:lvl w:ilvl="3">
      <w:start w:val="1"/>
      <w:numFmt w:val="lowerLetter"/>
      <w:lvlText w:val="%4)"/>
      <w:legacy w:legacy="1" w:legacySpace="0" w:legacyIndent="720"/>
      <w:lvlJc w:val="left"/>
      <w:pPr>
        <w:ind w:left="2080" w:hanging="720"/>
      </w:pPr>
    </w:lvl>
    <w:lvl w:ilvl="4">
      <w:start w:val="1"/>
      <w:numFmt w:val="decimal"/>
      <w:lvlText w:val="(%5)"/>
      <w:legacy w:legacy="1" w:legacySpace="0" w:legacyIndent="720"/>
      <w:lvlJc w:val="left"/>
      <w:pPr>
        <w:ind w:left="2800" w:hanging="720"/>
      </w:pPr>
    </w:lvl>
    <w:lvl w:ilvl="5">
      <w:start w:val="1"/>
      <w:numFmt w:val="lowerLetter"/>
      <w:lvlText w:val="(%6)"/>
      <w:legacy w:legacy="1" w:legacySpace="0" w:legacyIndent="720"/>
      <w:lvlJc w:val="left"/>
      <w:pPr>
        <w:ind w:left="3520" w:hanging="720"/>
      </w:pPr>
    </w:lvl>
    <w:lvl w:ilvl="6">
      <w:start w:val="1"/>
      <w:numFmt w:val="lowerRoman"/>
      <w:lvlText w:val="(%7)"/>
      <w:legacy w:legacy="1" w:legacySpace="0" w:legacyIndent="720"/>
      <w:lvlJc w:val="left"/>
      <w:pPr>
        <w:ind w:left="4240" w:hanging="720"/>
      </w:pPr>
    </w:lvl>
    <w:lvl w:ilvl="7">
      <w:start w:val="1"/>
      <w:numFmt w:val="lowerLetter"/>
      <w:lvlText w:val="(%8)"/>
      <w:legacy w:legacy="1" w:legacySpace="0" w:legacyIndent="720"/>
      <w:lvlJc w:val="left"/>
      <w:pPr>
        <w:ind w:left="4960" w:hanging="720"/>
      </w:pPr>
    </w:lvl>
    <w:lvl w:ilvl="8">
      <w:start w:val="1"/>
      <w:numFmt w:val="lowerRoman"/>
      <w:lvlText w:val="(%9)"/>
      <w:legacy w:legacy="1" w:legacySpace="0" w:legacyIndent="720"/>
      <w:lvlJc w:val="left"/>
      <w:pPr>
        <w:ind w:left="5680" w:hanging="720"/>
      </w:pPr>
    </w:lvl>
  </w:abstractNum>
  <w:abstractNum w:abstractNumId="11" w15:restartNumberingAfterBreak="0">
    <w:nsid w:val="032606A8"/>
    <w:multiLevelType w:val="multilevel"/>
    <w:tmpl w:val="A02E932A"/>
    <w:numStyleLink w:val="BulletsAgency"/>
  </w:abstractNum>
  <w:abstractNum w:abstractNumId="12"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3"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47511C1"/>
    <w:multiLevelType w:val="hybridMultilevel"/>
    <w:tmpl w:val="F5926BB8"/>
    <w:lvl w:ilvl="0" w:tplc="AFCE13D0">
      <w:start w:val="1"/>
      <w:numFmt w:val="bullet"/>
      <w:lvlText w:val=""/>
      <w:lvlJc w:val="left"/>
      <w:pPr>
        <w:tabs>
          <w:tab w:val="num" w:pos="283"/>
        </w:tabs>
        <w:ind w:left="283" w:hanging="283"/>
      </w:pPr>
      <w:rPr>
        <w:rFonts w:ascii="Symbol" w:hAnsi="Symbol" w:hint="default"/>
        <w:b w:val="0"/>
        <w:i w:val="0"/>
      </w:rPr>
    </w:lvl>
    <w:lvl w:ilvl="1" w:tplc="65968B50" w:tentative="1">
      <w:start w:val="1"/>
      <w:numFmt w:val="bullet"/>
      <w:lvlText w:val="o"/>
      <w:lvlJc w:val="left"/>
      <w:pPr>
        <w:tabs>
          <w:tab w:val="num" w:pos="1440"/>
        </w:tabs>
        <w:ind w:left="1440" w:hanging="360"/>
      </w:pPr>
      <w:rPr>
        <w:rFonts w:ascii="Courier New" w:hAnsi="Courier New" w:hint="default"/>
      </w:rPr>
    </w:lvl>
    <w:lvl w:ilvl="2" w:tplc="151ADED8" w:tentative="1">
      <w:start w:val="1"/>
      <w:numFmt w:val="bullet"/>
      <w:lvlText w:val=""/>
      <w:lvlJc w:val="left"/>
      <w:pPr>
        <w:tabs>
          <w:tab w:val="num" w:pos="2160"/>
        </w:tabs>
        <w:ind w:left="2160" w:hanging="360"/>
      </w:pPr>
      <w:rPr>
        <w:rFonts w:ascii="Wingdings" w:hAnsi="Wingdings" w:hint="default"/>
      </w:rPr>
    </w:lvl>
    <w:lvl w:ilvl="3" w:tplc="C77678C4" w:tentative="1">
      <w:start w:val="1"/>
      <w:numFmt w:val="bullet"/>
      <w:lvlText w:val=""/>
      <w:lvlJc w:val="left"/>
      <w:pPr>
        <w:tabs>
          <w:tab w:val="num" w:pos="2880"/>
        </w:tabs>
        <w:ind w:left="2880" w:hanging="360"/>
      </w:pPr>
      <w:rPr>
        <w:rFonts w:ascii="Symbol" w:hAnsi="Symbol" w:hint="default"/>
      </w:rPr>
    </w:lvl>
    <w:lvl w:ilvl="4" w:tplc="83AE3458" w:tentative="1">
      <w:start w:val="1"/>
      <w:numFmt w:val="bullet"/>
      <w:lvlText w:val="o"/>
      <w:lvlJc w:val="left"/>
      <w:pPr>
        <w:tabs>
          <w:tab w:val="num" w:pos="3600"/>
        </w:tabs>
        <w:ind w:left="3600" w:hanging="360"/>
      </w:pPr>
      <w:rPr>
        <w:rFonts w:ascii="Courier New" w:hAnsi="Courier New" w:hint="default"/>
      </w:rPr>
    </w:lvl>
    <w:lvl w:ilvl="5" w:tplc="964438AA" w:tentative="1">
      <w:start w:val="1"/>
      <w:numFmt w:val="bullet"/>
      <w:lvlText w:val=""/>
      <w:lvlJc w:val="left"/>
      <w:pPr>
        <w:tabs>
          <w:tab w:val="num" w:pos="4320"/>
        </w:tabs>
        <w:ind w:left="4320" w:hanging="360"/>
      </w:pPr>
      <w:rPr>
        <w:rFonts w:ascii="Wingdings" w:hAnsi="Wingdings" w:hint="default"/>
      </w:rPr>
    </w:lvl>
    <w:lvl w:ilvl="6" w:tplc="3F061564" w:tentative="1">
      <w:start w:val="1"/>
      <w:numFmt w:val="bullet"/>
      <w:lvlText w:val=""/>
      <w:lvlJc w:val="left"/>
      <w:pPr>
        <w:tabs>
          <w:tab w:val="num" w:pos="5040"/>
        </w:tabs>
        <w:ind w:left="5040" w:hanging="360"/>
      </w:pPr>
      <w:rPr>
        <w:rFonts w:ascii="Symbol" w:hAnsi="Symbol" w:hint="default"/>
      </w:rPr>
    </w:lvl>
    <w:lvl w:ilvl="7" w:tplc="E5A69E92" w:tentative="1">
      <w:start w:val="1"/>
      <w:numFmt w:val="bullet"/>
      <w:lvlText w:val="o"/>
      <w:lvlJc w:val="left"/>
      <w:pPr>
        <w:tabs>
          <w:tab w:val="num" w:pos="5760"/>
        </w:tabs>
        <w:ind w:left="5760" w:hanging="360"/>
      </w:pPr>
      <w:rPr>
        <w:rFonts w:ascii="Courier New" w:hAnsi="Courier New" w:hint="default"/>
      </w:rPr>
    </w:lvl>
    <w:lvl w:ilvl="8" w:tplc="B720F9B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305AA4"/>
    <w:multiLevelType w:val="hybridMultilevel"/>
    <w:tmpl w:val="A47A7996"/>
    <w:lvl w:ilvl="0" w:tplc="FDCE8754">
      <w:start w:val="1"/>
      <w:numFmt w:val="bullet"/>
      <w:lvlText w:val=""/>
      <w:lvlJc w:val="left"/>
      <w:pPr>
        <w:tabs>
          <w:tab w:val="num" w:pos="283"/>
        </w:tabs>
        <w:ind w:left="283" w:hanging="283"/>
      </w:pPr>
      <w:rPr>
        <w:rFonts w:ascii="Symbol" w:hAnsi="Symbol" w:hint="default"/>
        <w:b w:val="0"/>
        <w:i w:val="0"/>
      </w:rPr>
    </w:lvl>
    <w:lvl w:ilvl="1" w:tplc="29282714" w:tentative="1">
      <w:start w:val="1"/>
      <w:numFmt w:val="bullet"/>
      <w:lvlText w:val="o"/>
      <w:lvlJc w:val="left"/>
      <w:pPr>
        <w:tabs>
          <w:tab w:val="num" w:pos="1440"/>
        </w:tabs>
        <w:ind w:left="1440" w:hanging="360"/>
      </w:pPr>
      <w:rPr>
        <w:rFonts w:ascii="Courier New" w:hAnsi="Courier New" w:hint="default"/>
      </w:rPr>
    </w:lvl>
    <w:lvl w:ilvl="2" w:tplc="7B005464" w:tentative="1">
      <w:start w:val="1"/>
      <w:numFmt w:val="bullet"/>
      <w:lvlText w:val=""/>
      <w:lvlJc w:val="left"/>
      <w:pPr>
        <w:tabs>
          <w:tab w:val="num" w:pos="2160"/>
        </w:tabs>
        <w:ind w:left="2160" w:hanging="360"/>
      </w:pPr>
      <w:rPr>
        <w:rFonts w:ascii="Wingdings" w:hAnsi="Wingdings" w:hint="default"/>
      </w:rPr>
    </w:lvl>
    <w:lvl w:ilvl="3" w:tplc="11D2F870" w:tentative="1">
      <w:start w:val="1"/>
      <w:numFmt w:val="bullet"/>
      <w:lvlText w:val=""/>
      <w:lvlJc w:val="left"/>
      <w:pPr>
        <w:tabs>
          <w:tab w:val="num" w:pos="2880"/>
        </w:tabs>
        <w:ind w:left="2880" w:hanging="360"/>
      </w:pPr>
      <w:rPr>
        <w:rFonts w:ascii="Symbol" w:hAnsi="Symbol" w:hint="default"/>
      </w:rPr>
    </w:lvl>
    <w:lvl w:ilvl="4" w:tplc="64BE4E96" w:tentative="1">
      <w:start w:val="1"/>
      <w:numFmt w:val="bullet"/>
      <w:lvlText w:val="o"/>
      <w:lvlJc w:val="left"/>
      <w:pPr>
        <w:tabs>
          <w:tab w:val="num" w:pos="3600"/>
        </w:tabs>
        <w:ind w:left="3600" w:hanging="360"/>
      </w:pPr>
      <w:rPr>
        <w:rFonts w:ascii="Courier New" w:hAnsi="Courier New" w:hint="default"/>
      </w:rPr>
    </w:lvl>
    <w:lvl w:ilvl="5" w:tplc="27EA9682" w:tentative="1">
      <w:start w:val="1"/>
      <w:numFmt w:val="bullet"/>
      <w:lvlText w:val=""/>
      <w:lvlJc w:val="left"/>
      <w:pPr>
        <w:tabs>
          <w:tab w:val="num" w:pos="4320"/>
        </w:tabs>
        <w:ind w:left="4320" w:hanging="360"/>
      </w:pPr>
      <w:rPr>
        <w:rFonts w:ascii="Wingdings" w:hAnsi="Wingdings" w:hint="default"/>
      </w:rPr>
    </w:lvl>
    <w:lvl w:ilvl="6" w:tplc="7FCC42B4" w:tentative="1">
      <w:start w:val="1"/>
      <w:numFmt w:val="bullet"/>
      <w:lvlText w:val=""/>
      <w:lvlJc w:val="left"/>
      <w:pPr>
        <w:tabs>
          <w:tab w:val="num" w:pos="5040"/>
        </w:tabs>
        <w:ind w:left="5040" w:hanging="360"/>
      </w:pPr>
      <w:rPr>
        <w:rFonts w:ascii="Symbol" w:hAnsi="Symbol" w:hint="default"/>
      </w:rPr>
    </w:lvl>
    <w:lvl w:ilvl="7" w:tplc="3E0A9A04" w:tentative="1">
      <w:start w:val="1"/>
      <w:numFmt w:val="bullet"/>
      <w:lvlText w:val="o"/>
      <w:lvlJc w:val="left"/>
      <w:pPr>
        <w:tabs>
          <w:tab w:val="num" w:pos="5760"/>
        </w:tabs>
        <w:ind w:left="5760" w:hanging="360"/>
      </w:pPr>
      <w:rPr>
        <w:rFonts w:ascii="Courier New" w:hAnsi="Courier New" w:hint="default"/>
      </w:rPr>
    </w:lvl>
    <w:lvl w:ilvl="8" w:tplc="21644DC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7102AF"/>
    <w:multiLevelType w:val="multilevel"/>
    <w:tmpl w:val="A02E932A"/>
    <w:numStyleLink w:val="BulletsAgency"/>
  </w:abstractNum>
  <w:abstractNum w:abstractNumId="18"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9" w15:restartNumberingAfterBreak="0">
    <w:nsid w:val="299566E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CCD40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90A397C"/>
    <w:multiLevelType w:val="multilevel"/>
    <w:tmpl w:val="A02E932A"/>
    <w:numStyleLink w:val="BulletsAgency"/>
  </w:abstractNum>
  <w:abstractNum w:abstractNumId="22"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3" w15:restartNumberingAfterBreak="0">
    <w:nsid w:val="7D685F6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5"/>
  </w:num>
  <w:num w:numId="3">
    <w:abstractNumId w:val="16"/>
  </w:num>
  <w:num w:numId="4">
    <w:abstractNumId w:val="12"/>
  </w:num>
  <w:num w:numId="5">
    <w:abstractNumId w:val="14"/>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18"/>
  </w:num>
  <w:num w:numId="16">
    <w:abstractNumId w:val="13"/>
  </w:num>
  <w:num w:numId="17">
    <w:abstractNumId w:val="20"/>
  </w:num>
  <w:num w:numId="18">
    <w:abstractNumId w:val="23"/>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4"/>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18"/>
  </w:num>
  <w:num w:numId="42">
    <w:abstractNumId w:val="13"/>
  </w:num>
  <w:num w:numId="43">
    <w:abstractNumId w:val="17"/>
  </w:num>
  <w:num w:numId="44">
    <w:abstractNumId w:val="2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09"/>
    <w:rsid w:val="00002A3F"/>
    <w:rsid w:val="000137D6"/>
    <w:rsid w:val="00047F64"/>
    <w:rsid w:val="000602E7"/>
    <w:rsid w:val="00082135"/>
    <w:rsid w:val="00085F1D"/>
    <w:rsid w:val="000955BF"/>
    <w:rsid w:val="000A36A6"/>
    <w:rsid w:val="000B61E4"/>
    <w:rsid w:val="000D2CE4"/>
    <w:rsid w:val="000E41B5"/>
    <w:rsid w:val="000F08B1"/>
    <w:rsid w:val="000F364C"/>
    <w:rsid w:val="0011616B"/>
    <w:rsid w:val="00150385"/>
    <w:rsid w:val="001535AF"/>
    <w:rsid w:val="00184FBD"/>
    <w:rsid w:val="001A2AC0"/>
    <w:rsid w:val="001B07F0"/>
    <w:rsid w:val="001C635C"/>
    <w:rsid w:val="001D655C"/>
    <w:rsid w:val="0020353A"/>
    <w:rsid w:val="002610F4"/>
    <w:rsid w:val="00272AE4"/>
    <w:rsid w:val="00292F1F"/>
    <w:rsid w:val="002D7278"/>
    <w:rsid w:val="002E454F"/>
    <w:rsid w:val="003352BF"/>
    <w:rsid w:val="00336370"/>
    <w:rsid w:val="00337495"/>
    <w:rsid w:val="003620D7"/>
    <w:rsid w:val="00380AC1"/>
    <w:rsid w:val="003826D2"/>
    <w:rsid w:val="00390AC0"/>
    <w:rsid w:val="003A07BE"/>
    <w:rsid w:val="003B0DCA"/>
    <w:rsid w:val="003C7F71"/>
    <w:rsid w:val="0040228C"/>
    <w:rsid w:val="004033B3"/>
    <w:rsid w:val="004406E6"/>
    <w:rsid w:val="00447B4F"/>
    <w:rsid w:val="00456700"/>
    <w:rsid w:val="00460677"/>
    <w:rsid w:val="00497B01"/>
    <w:rsid w:val="004A16B9"/>
    <w:rsid w:val="004A6531"/>
    <w:rsid w:val="004B0114"/>
    <w:rsid w:val="004D2AA5"/>
    <w:rsid w:val="004D4C54"/>
    <w:rsid w:val="004D6987"/>
    <w:rsid w:val="004F38C2"/>
    <w:rsid w:val="004F4BDF"/>
    <w:rsid w:val="004F5EFB"/>
    <w:rsid w:val="005040B7"/>
    <w:rsid w:val="005226FF"/>
    <w:rsid w:val="005245E0"/>
    <w:rsid w:val="00534FB1"/>
    <w:rsid w:val="0055176F"/>
    <w:rsid w:val="00556A78"/>
    <w:rsid w:val="00575150"/>
    <w:rsid w:val="00584092"/>
    <w:rsid w:val="00584F9C"/>
    <w:rsid w:val="00593B10"/>
    <w:rsid w:val="005A678E"/>
    <w:rsid w:val="005E56BD"/>
    <w:rsid w:val="005F12B7"/>
    <w:rsid w:val="005F4230"/>
    <w:rsid w:val="0062522B"/>
    <w:rsid w:val="00653E33"/>
    <w:rsid w:val="0069082B"/>
    <w:rsid w:val="00696743"/>
    <w:rsid w:val="006B7136"/>
    <w:rsid w:val="006F0D5E"/>
    <w:rsid w:val="00701C00"/>
    <w:rsid w:val="00707C29"/>
    <w:rsid w:val="00711E52"/>
    <w:rsid w:val="007311F9"/>
    <w:rsid w:val="00744D28"/>
    <w:rsid w:val="00756200"/>
    <w:rsid w:val="00762051"/>
    <w:rsid w:val="00765208"/>
    <w:rsid w:val="007A3B2E"/>
    <w:rsid w:val="007D1768"/>
    <w:rsid w:val="007D58BD"/>
    <w:rsid w:val="007E416A"/>
    <w:rsid w:val="00825225"/>
    <w:rsid w:val="008502B9"/>
    <w:rsid w:val="00882363"/>
    <w:rsid w:val="008A3AED"/>
    <w:rsid w:val="008C1AD1"/>
    <w:rsid w:val="008C2E80"/>
    <w:rsid w:val="008F1308"/>
    <w:rsid w:val="008F4408"/>
    <w:rsid w:val="00903F87"/>
    <w:rsid w:val="00917236"/>
    <w:rsid w:val="00932BE6"/>
    <w:rsid w:val="00943270"/>
    <w:rsid w:val="009502E0"/>
    <w:rsid w:val="00973A2C"/>
    <w:rsid w:val="00977EDC"/>
    <w:rsid w:val="009B1C0C"/>
    <w:rsid w:val="009B7F09"/>
    <w:rsid w:val="00A44B87"/>
    <w:rsid w:val="00A76926"/>
    <w:rsid w:val="00A87A11"/>
    <w:rsid w:val="00A9424E"/>
    <w:rsid w:val="00AC4D89"/>
    <w:rsid w:val="00AC6B74"/>
    <w:rsid w:val="00AE75AF"/>
    <w:rsid w:val="00AF5D00"/>
    <w:rsid w:val="00B25EEA"/>
    <w:rsid w:val="00B3310F"/>
    <w:rsid w:val="00B47B88"/>
    <w:rsid w:val="00B837AF"/>
    <w:rsid w:val="00B84283"/>
    <w:rsid w:val="00B958C3"/>
    <w:rsid w:val="00BB1BEE"/>
    <w:rsid w:val="00BC14EC"/>
    <w:rsid w:val="00BC14F1"/>
    <w:rsid w:val="00BE7A77"/>
    <w:rsid w:val="00C05760"/>
    <w:rsid w:val="00C1218E"/>
    <w:rsid w:val="00C228D3"/>
    <w:rsid w:val="00C52DFD"/>
    <w:rsid w:val="00C63ECD"/>
    <w:rsid w:val="00C711A6"/>
    <w:rsid w:val="00C77A9C"/>
    <w:rsid w:val="00C860AE"/>
    <w:rsid w:val="00C9324E"/>
    <w:rsid w:val="00CB6AEF"/>
    <w:rsid w:val="00CC2B46"/>
    <w:rsid w:val="00CC6225"/>
    <w:rsid w:val="00CE789B"/>
    <w:rsid w:val="00CF028F"/>
    <w:rsid w:val="00D3314E"/>
    <w:rsid w:val="00D33537"/>
    <w:rsid w:val="00D4182A"/>
    <w:rsid w:val="00D43D8F"/>
    <w:rsid w:val="00D5655A"/>
    <w:rsid w:val="00D74008"/>
    <w:rsid w:val="00D77CD7"/>
    <w:rsid w:val="00D8494F"/>
    <w:rsid w:val="00DB68E8"/>
    <w:rsid w:val="00DC3D1C"/>
    <w:rsid w:val="00DD5899"/>
    <w:rsid w:val="00E0629A"/>
    <w:rsid w:val="00E13D78"/>
    <w:rsid w:val="00E2467C"/>
    <w:rsid w:val="00E30E11"/>
    <w:rsid w:val="00E57C2B"/>
    <w:rsid w:val="00EA733B"/>
    <w:rsid w:val="00EE06C0"/>
    <w:rsid w:val="00EE29BD"/>
    <w:rsid w:val="00EE5D90"/>
    <w:rsid w:val="00F64125"/>
    <w:rsid w:val="00F84309"/>
    <w:rsid w:val="00FA0AB9"/>
    <w:rsid w:val="00FA31F2"/>
    <w:rsid w:val="00FA6320"/>
    <w:rsid w:val="00FB241F"/>
    <w:rsid w:val="00FD7148"/>
    <w:rsid w:val="00FF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68C3D79-9C85-4EFE-A2C8-6F056A01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18"/>
      <w:lang w:eastAsia="fr-LU"/>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b/>
      <w:i/>
      <w:kern w:val="32"/>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0"/>
    </w:rPr>
  </w:style>
  <w:style w:type="paragraph" w:styleId="Footer">
    <w:name w:val="footer"/>
    <w:basedOn w:val="Normal"/>
    <w:pPr>
      <w:tabs>
        <w:tab w:val="center" w:pos="4153"/>
        <w:tab w:val="right" w:pos="9072"/>
      </w:tabs>
      <w:ind w:right="-567"/>
    </w:pPr>
    <w:rPr>
      <w:rFonts w:ascii="Arial" w:hAnsi="Arial"/>
      <w:sz w:val="16"/>
    </w:rPr>
  </w:style>
  <w:style w:type="character" w:styleId="PageNumber">
    <w:name w:val="page number"/>
    <w:basedOn w:val="DefaultParagraphFont"/>
  </w:style>
  <w:style w:type="paragraph" w:styleId="Title">
    <w:name w:val="Title"/>
    <w:basedOn w:val="Normal"/>
    <w:qFormat/>
    <w:pPr>
      <w:jc w:val="center"/>
    </w:pPr>
    <w:rPr>
      <w:b/>
      <w:sz w:val="22"/>
    </w:rPr>
  </w:style>
  <w:style w:type="paragraph" w:customStyle="1" w:styleId="DoccategoryheadingAgency">
    <w:name w:val="Doc category heading (Agency)"/>
    <w:next w:val="BodytextAgency"/>
    <w:pPr>
      <w:pBdr>
        <w:bottom w:val="single" w:sz="4" w:space="1" w:color="auto"/>
      </w:pBdr>
      <w:spacing w:before="567"/>
    </w:pPr>
    <w:rPr>
      <w:rFonts w:ascii="Verdana" w:hAnsi="Verdana"/>
      <w:b/>
      <w:color w:val="003399"/>
      <w:sz w:val="18"/>
      <w:lang w:eastAsia="fr-LU"/>
    </w:rPr>
  </w:style>
  <w:style w:type="paragraph" w:styleId="FootnoteText">
    <w:name w:val="footnote text"/>
    <w:basedOn w:val="Normal"/>
    <w:rPr>
      <w:sz w:val="15"/>
    </w:rPr>
  </w:style>
  <w:style w:type="character" w:styleId="FootnoteReference">
    <w:name w:val="footnote reference"/>
    <w:rPr>
      <w:rFonts w:ascii="Verdana" w:hAnsi="Verdana"/>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gency">
    <w:name w:val="Footer (Agency)"/>
    <w:basedOn w:val="Normal"/>
    <w:link w:val="FooterAgencyCharChar"/>
    <w:rsid w:val="007D1768"/>
    <w:rPr>
      <w:rFonts w:eastAsia="Verdana" w:cs="Verdana"/>
      <w:color w:val="6D6F71"/>
      <w:sz w:val="14"/>
      <w:szCs w:val="14"/>
      <w:lang w:eastAsia="en-GB"/>
    </w:rPr>
  </w:style>
  <w:style w:type="paragraph" w:customStyle="1" w:styleId="FooterblueAgency">
    <w:name w:val="Footer blue (Agency)"/>
    <w:basedOn w:val="Normal"/>
    <w:link w:val="FooterblueAgencyCharChar"/>
    <w:rsid w:val="007D1768"/>
    <w:rPr>
      <w:rFonts w:eastAsia="Verdana" w:cs="Verdana"/>
      <w:b/>
      <w:color w:val="003399"/>
      <w:sz w:val="13"/>
      <w:szCs w:val="14"/>
      <w:lang w:eastAsia="en-GB"/>
    </w:rPr>
  </w:style>
  <w:style w:type="table" w:customStyle="1" w:styleId="FootertableAgency">
    <w:name w:val="Footer table (Agency)"/>
    <w:basedOn w:val="TableNormal"/>
    <w:rPr>
      <w:rFonts w:ascii="Verdana" w:hAnsi="Verdana"/>
    </w:rPr>
    <w:tblPr/>
    <w:tcPr>
      <w:shd w:val="clear" w:color="auto" w:fill="auto"/>
      <w:tcMar>
        <w:left w:w="0" w:type="dxa"/>
        <w:right w:w="0" w:type="dxa"/>
      </w:tcMar>
    </w:tcPr>
    <w:tblStylePr w:type="firstRow">
      <w:rPr>
        <w:rFonts w:ascii="Arial Unicode MS" w:hAnsi="Arial Unicode MS"/>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7D1768"/>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pPr>
      <w:tabs>
        <w:tab w:val="right" w:pos="9781"/>
      </w:tabs>
      <w:jc w:val="right"/>
    </w:pPr>
    <w:rPr>
      <w:color w:val="6D6F71"/>
      <w:sz w:val="14"/>
    </w:rPr>
  </w:style>
  <w:style w:type="character" w:customStyle="1" w:styleId="PagenumberAgencyCharChar">
    <w:name w:val="Page number (Agency) Char Char"/>
    <w:link w:val="PagenumberAgency"/>
    <w:rPr>
      <w:rFonts w:ascii="Verdana" w:hAnsi="Verdana"/>
      <w:color w:val="6D6F71"/>
      <w:sz w:val="14"/>
      <w:lang w:val="en-GB"/>
    </w:rPr>
  </w:style>
  <w:style w:type="character" w:customStyle="1" w:styleId="FooterblueAgencyCharChar">
    <w:name w:val="Footer blue (Agency) Char Char"/>
    <w:link w:val="FooterblueAgency"/>
    <w:rsid w:val="007D1768"/>
    <w:rPr>
      <w:rFonts w:ascii="Verdana" w:eastAsia="Verdana" w:hAnsi="Verdana" w:cs="Verdana"/>
      <w:b/>
      <w:color w:val="003399"/>
      <w:sz w:val="13"/>
      <w:szCs w:val="14"/>
    </w:rPr>
  </w:style>
  <w:style w:type="table" w:customStyle="1" w:styleId="TablegridAgencyblank">
    <w:name w:val="Table grid (Agency) blank"/>
    <w:basedOn w:val="TableNormal"/>
    <w:rPr>
      <w:rFonts w:ascii="Verdana" w:hAnsi="Verdana"/>
      <w:sz w:val="18"/>
    </w:rPr>
    <w:tblPr/>
    <w:tcPr>
      <w:shd w:val="clear" w:color="auto" w:fill="auto"/>
    </w:tcPr>
    <w:tblStylePr w:type="firstRow">
      <w:rPr>
        <w:rFonts w:ascii="Palatino Linotype" w:hAnsi="Palatino Linotype"/>
        <w:b w:val="0"/>
        <w:i w:val="0"/>
        <w:color w:val="auto"/>
        <w:sz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pPr>
      <w:spacing w:after="140" w:line="280" w:lineRule="atLeast"/>
    </w:pPr>
  </w:style>
  <w:style w:type="paragraph" w:customStyle="1" w:styleId="BodytextAgency">
    <w:name w:val="Body text (Agency)"/>
    <w:basedOn w:val="Normal"/>
    <w:link w:val="BodytextAgencyChar"/>
    <w:pPr>
      <w:spacing w:after="140" w:line="280" w:lineRule="atLeast"/>
    </w:pPr>
  </w:style>
  <w:style w:type="numbering" w:customStyle="1" w:styleId="BulletsAgency">
    <w:name w:val="Bullets (Agency)"/>
    <w:basedOn w:val="NoList"/>
    <w:pPr>
      <w:numPr>
        <w:numId w:val="4"/>
      </w:numPr>
    </w:pPr>
  </w:style>
  <w:style w:type="paragraph" w:customStyle="1" w:styleId="DisclaimerAgency">
    <w:name w:val="Disclaimer (Agency)"/>
    <w:basedOn w:val="Normal"/>
    <w:pPr>
      <w:tabs>
        <w:tab w:val="center" w:pos="4320"/>
        <w:tab w:val="right" w:pos="8640"/>
      </w:tabs>
      <w:spacing w:after="57" w:line="150" w:lineRule="exact"/>
    </w:pPr>
    <w:rPr>
      <w:snapToGrid w:val="0"/>
      <w:color w:val="6D6F71"/>
      <w:sz w:val="13"/>
    </w:rPr>
  </w:style>
  <w:style w:type="paragraph" w:customStyle="1" w:styleId="DocsubtitleAgency">
    <w:name w:val="Doc subtitle (Agency)"/>
    <w:basedOn w:val="Normal"/>
    <w:next w:val="BodytextAgency"/>
    <w:pPr>
      <w:spacing w:after="640" w:line="360" w:lineRule="atLeast"/>
    </w:pPr>
    <w:rPr>
      <w:sz w:val="24"/>
    </w:rPr>
  </w:style>
  <w:style w:type="paragraph" w:customStyle="1" w:styleId="DoctitleAgency">
    <w:name w:val="Doc title (Agency)"/>
    <w:basedOn w:val="Normal"/>
    <w:next w:val="DocsubtitleAgency"/>
    <w:pPr>
      <w:spacing w:before="720" w:line="360" w:lineRule="atLeast"/>
    </w:pPr>
    <w:rPr>
      <w:color w:val="003399"/>
      <w:sz w:val="32"/>
    </w:rPr>
  </w:style>
  <w:style w:type="character" w:customStyle="1" w:styleId="PageNumberAgency0">
    <w:name w:val="Page Number (Agency)"/>
    <w:rsid w:val="007D1768"/>
    <w:rPr>
      <w:rFonts w:ascii="Verdana" w:hAnsi="Verdana"/>
      <w:sz w:val="14"/>
    </w:rPr>
  </w:style>
  <w:style w:type="character" w:styleId="EndnoteReference">
    <w:name w:val="endnote reference"/>
    <w:rPr>
      <w:rFonts w:ascii="Verdana" w:hAnsi="Verdana"/>
      <w:vertAlign w:val="superscript"/>
    </w:rPr>
  </w:style>
  <w:style w:type="character" w:customStyle="1" w:styleId="EndnotereferenceAgency">
    <w:name w:val="Endnote reference (Agency)"/>
    <w:rPr>
      <w:rFonts w:ascii="Verdana" w:hAnsi="Verdana"/>
      <w:vertAlign w:val="superscript"/>
    </w:rPr>
  </w:style>
  <w:style w:type="paragraph" w:styleId="EndnoteText">
    <w:name w:val="endnote text"/>
    <w:basedOn w:val="Normal"/>
    <w:rPr>
      <w:sz w:val="15"/>
    </w:rPr>
  </w:style>
  <w:style w:type="paragraph" w:customStyle="1" w:styleId="EndnotetextAgency">
    <w:name w:val="Endnote text (Agency)"/>
    <w:basedOn w:val="Normal"/>
    <w:rPr>
      <w:sz w:val="15"/>
    </w:rPr>
  </w:style>
  <w:style w:type="paragraph" w:customStyle="1" w:styleId="FigureAgency">
    <w:name w:val="Figure (Agency)"/>
    <w:basedOn w:val="Normal"/>
    <w:next w:val="BodytextAgency"/>
    <w:pPr>
      <w:jc w:val="center"/>
    </w:pPr>
  </w:style>
  <w:style w:type="paragraph" w:customStyle="1" w:styleId="FigureheadingAgency">
    <w:name w:val="Figure heading (Agency)"/>
    <w:basedOn w:val="Normal"/>
    <w:next w:val="FigureAgency"/>
    <w:pPr>
      <w:keepNext/>
      <w:numPr>
        <w:numId w:val="31"/>
      </w:numPr>
      <w:spacing w:before="240" w:after="120"/>
    </w:pPr>
  </w:style>
  <w:style w:type="character" w:customStyle="1" w:styleId="FootnotereferenceAgency">
    <w:name w:val="Footnote reference (Agency)"/>
    <w:rPr>
      <w:rFonts w:ascii="Verdana" w:hAnsi="Verdana"/>
      <w:color w:val="auto"/>
      <w:vertAlign w:val="superscript"/>
    </w:rPr>
  </w:style>
  <w:style w:type="paragraph" w:customStyle="1" w:styleId="FootnotetextAgency">
    <w:name w:val="Footnote text (Agency)"/>
    <w:basedOn w:val="Normal"/>
    <w:rPr>
      <w:sz w:val="15"/>
    </w:rPr>
  </w:style>
  <w:style w:type="paragraph" w:customStyle="1" w:styleId="HeaderAgency">
    <w:name w:val="Header (Agency)"/>
    <w:basedOn w:val="Normal"/>
  </w:style>
  <w:style w:type="paragraph" w:customStyle="1" w:styleId="Heading1Agency">
    <w:name w:val="Heading 1 (Agency)"/>
    <w:basedOn w:val="Normal"/>
    <w:next w:val="BodytextAgency"/>
    <w:pPr>
      <w:keepNext/>
      <w:numPr>
        <w:numId w:val="40"/>
      </w:numPr>
      <w:spacing w:before="280" w:after="220"/>
      <w:outlineLvl w:val="0"/>
    </w:pPr>
    <w:rPr>
      <w:b/>
      <w:kern w:val="32"/>
      <w:sz w:val="27"/>
    </w:rPr>
  </w:style>
  <w:style w:type="paragraph" w:customStyle="1" w:styleId="Heading2Agency">
    <w:name w:val="Heading 2 (Agency)"/>
    <w:basedOn w:val="Normal"/>
    <w:next w:val="BodytextAgency"/>
    <w:pPr>
      <w:keepNext/>
      <w:numPr>
        <w:ilvl w:val="1"/>
        <w:numId w:val="40"/>
      </w:numPr>
      <w:spacing w:before="280" w:after="220"/>
      <w:outlineLvl w:val="1"/>
    </w:pPr>
    <w:rPr>
      <w:b/>
      <w:i/>
      <w:kern w:val="32"/>
      <w:sz w:val="22"/>
    </w:rPr>
  </w:style>
  <w:style w:type="paragraph" w:customStyle="1" w:styleId="Heading3Agency">
    <w:name w:val="Heading 3 (Agency)"/>
    <w:basedOn w:val="Normal"/>
    <w:next w:val="BodytextAgency"/>
    <w:pPr>
      <w:keepNext/>
      <w:numPr>
        <w:ilvl w:val="2"/>
        <w:numId w:val="40"/>
      </w:numPr>
      <w:spacing w:before="280" w:after="220"/>
      <w:outlineLvl w:val="2"/>
    </w:pPr>
    <w:rPr>
      <w:b/>
      <w:kern w:val="32"/>
      <w:sz w:val="22"/>
    </w:rPr>
  </w:style>
  <w:style w:type="paragraph" w:customStyle="1" w:styleId="Heading4Agency">
    <w:name w:val="Heading 4 (Agency)"/>
    <w:basedOn w:val="Heading3Agency"/>
    <w:next w:val="BodytextAgency"/>
    <w:pPr>
      <w:numPr>
        <w:ilvl w:val="3"/>
      </w:numPr>
      <w:outlineLvl w:val="3"/>
    </w:pPr>
    <w:rPr>
      <w:i/>
      <w:sz w:val="18"/>
    </w:rPr>
  </w:style>
  <w:style w:type="paragraph" w:customStyle="1" w:styleId="Heading5Agency">
    <w:name w:val="Heading 5 (Agency)"/>
    <w:basedOn w:val="Heading4Agency"/>
    <w:next w:val="BodytextAgency"/>
    <w:pPr>
      <w:numPr>
        <w:ilvl w:val="4"/>
      </w:numPr>
      <w:outlineLvl w:val="4"/>
    </w:pPr>
    <w:rPr>
      <w:i w:val="0"/>
    </w:rPr>
  </w:style>
  <w:style w:type="paragraph" w:customStyle="1" w:styleId="Heading6Agency">
    <w:name w:val="Heading 6 (Agency)"/>
    <w:basedOn w:val="Heading5Agency"/>
    <w:next w:val="BodytextAgency"/>
    <w:pPr>
      <w:numPr>
        <w:ilvl w:val="5"/>
      </w:numPr>
      <w:outlineLvl w:val="5"/>
    </w:pPr>
  </w:style>
  <w:style w:type="paragraph" w:customStyle="1" w:styleId="Heading7Agency">
    <w:name w:val="Heading 7 (Agency)"/>
    <w:basedOn w:val="Heading6Agency"/>
    <w:next w:val="BodytextAgency"/>
    <w:pPr>
      <w:numPr>
        <w:ilvl w:val="6"/>
      </w:numPr>
      <w:outlineLvl w:val="6"/>
    </w:pPr>
  </w:style>
  <w:style w:type="paragraph" w:customStyle="1" w:styleId="Heading8Agency">
    <w:name w:val="Heading 8 (Agency)"/>
    <w:basedOn w:val="Heading7Agency"/>
    <w:next w:val="BodytextAgency"/>
    <w:pPr>
      <w:numPr>
        <w:ilvl w:val="7"/>
      </w:numPr>
      <w:outlineLvl w:val="7"/>
    </w:pPr>
  </w:style>
  <w:style w:type="paragraph" w:customStyle="1" w:styleId="Heading9Agency">
    <w:name w:val="Heading 9 (Agency)"/>
    <w:basedOn w:val="Heading8Agency"/>
    <w:next w:val="BodytextAgency"/>
    <w:pPr>
      <w:numPr>
        <w:ilvl w:val="8"/>
      </w:numPr>
      <w:outlineLvl w:val="8"/>
    </w:pPr>
  </w:style>
  <w:style w:type="paragraph" w:customStyle="1" w:styleId="No-numheading1Agency">
    <w:name w:val="No-num heading 1 (Agency)"/>
    <w:basedOn w:val="Normal"/>
    <w:next w:val="BodytextAgency"/>
    <w:pPr>
      <w:keepNext/>
      <w:spacing w:before="280" w:after="220"/>
      <w:outlineLvl w:val="0"/>
    </w:pPr>
    <w:rPr>
      <w:b/>
      <w:kern w:val="32"/>
      <w:sz w:val="27"/>
    </w:rPr>
  </w:style>
  <w:style w:type="paragraph" w:customStyle="1" w:styleId="No-numheading2Agency">
    <w:name w:val="No-num heading 2 (Agency)"/>
    <w:basedOn w:val="Normal"/>
    <w:next w:val="BodytextAgency"/>
    <w:pPr>
      <w:keepNext/>
      <w:spacing w:before="280" w:after="220"/>
      <w:outlineLvl w:val="1"/>
    </w:pPr>
    <w:rPr>
      <w:b/>
      <w:i/>
      <w:kern w:val="32"/>
      <w:sz w:val="22"/>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pPr>
      <w:numPr>
        <w:ilvl w:val="0"/>
        <w:numId w:val="0"/>
      </w:numPr>
    </w:pPr>
  </w:style>
  <w:style w:type="paragraph" w:customStyle="1" w:styleId="No-numheading5Agency">
    <w:name w:val="No-num heading 5 (Agency)"/>
    <w:basedOn w:val="Heading5Agency"/>
    <w:next w:val="BodytextAgency"/>
    <w:pPr>
      <w:numPr>
        <w:ilvl w:val="0"/>
        <w:numId w:val="0"/>
      </w:numPr>
    </w:pPr>
  </w:style>
  <w:style w:type="paragraph" w:customStyle="1" w:styleId="No-numheading6Agency">
    <w:name w:val="No-num heading 6 (Agency)"/>
    <w:basedOn w:val="No-numheading5Agency"/>
    <w:next w:val="BodytextAgency"/>
    <w:pPr>
      <w:outlineLvl w:val="5"/>
    </w:pPr>
  </w:style>
  <w:style w:type="paragraph" w:customStyle="1" w:styleId="No-numheading7Agency">
    <w:name w:val="No-num heading 7 (Agency)"/>
    <w:basedOn w:val="No-numheading6Agency"/>
    <w:next w:val="BodytextAgency"/>
    <w:pPr>
      <w:outlineLvl w:val="6"/>
    </w:pPr>
  </w:style>
  <w:style w:type="paragraph" w:customStyle="1" w:styleId="No-numheading8Agency">
    <w:name w:val="No-num heading 8 (Agency)"/>
    <w:basedOn w:val="No-numheading7Agency"/>
    <w:next w:val="BodytextAgency"/>
    <w:pPr>
      <w:outlineLvl w:val="7"/>
    </w:pPr>
  </w:style>
  <w:style w:type="paragraph" w:customStyle="1" w:styleId="No-numheading9Agency">
    <w:name w:val="No-num heading 9 (Agency)"/>
    <w:basedOn w:val="No-numheading8Agency"/>
    <w:next w:val="BodytextAgency"/>
    <w:pPr>
      <w:outlineLvl w:val="8"/>
    </w:pPr>
  </w:style>
  <w:style w:type="paragraph" w:customStyle="1" w:styleId="NormalAgency">
    <w:name w:val="Normal (Agency)"/>
    <w:rPr>
      <w:rFonts w:ascii="Verdana" w:hAnsi="Verdana"/>
      <w:sz w:val="18"/>
      <w:lang w:eastAsia="fr-LU"/>
    </w:rPr>
  </w:style>
  <w:style w:type="paragraph" w:customStyle="1" w:styleId="No-TOCheadingAgency">
    <w:name w:val="No-TOC heading (Agency)"/>
    <w:basedOn w:val="Normal"/>
    <w:next w:val="Normal"/>
    <w:pPr>
      <w:keepNext/>
      <w:spacing w:before="280" w:after="220"/>
    </w:pPr>
    <w:rPr>
      <w:b/>
      <w:kern w:val="32"/>
      <w:sz w:val="27"/>
    </w:rPr>
  </w:style>
  <w:style w:type="numbering" w:customStyle="1" w:styleId="NumberlistAgency">
    <w:name w:val="Number list (Agency)"/>
    <w:basedOn w:val="NoList"/>
    <w:pPr>
      <w:numPr>
        <w:numId w:val="15"/>
      </w:numPr>
    </w:pPr>
  </w:style>
  <w:style w:type="paragraph" w:customStyle="1" w:styleId="RefAgency">
    <w:name w:val="Ref. (Agency)"/>
    <w:basedOn w:val="Normal"/>
    <w:rPr>
      <w:sz w:val="17"/>
    </w:rPr>
  </w:style>
  <w:style w:type="paragraph" w:customStyle="1" w:styleId="TablefirstrowAgency">
    <w:name w:val="Table first row (Agency)"/>
    <w:basedOn w:val="BodytextAgency"/>
    <w:pPr>
      <w:keepNext/>
    </w:pPr>
    <w:rPr>
      <w:b/>
    </w:rPr>
  </w:style>
  <w:style w:type="table" w:customStyle="1" w:styleId="TablegridAgency">
    <w:name w:val="Table grid (Agency)"/>
    <w:basedOn w:val="TableNormal"/>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pPr>
      <w:keepNext/>
      <w:numPr>
        <w:numId w:val="42"/>
      </w:numPr>
      <w:spacing w:before="240" w:after="120"/>
    </w:pPr>
  </w:style>
  <w:style w:type="paragraph" w:customStyle="1" w:styleId="TableheadingrowsAgency">
    <w:name w:val="Table heading rows (Agency)"/>
    <w:basedOn w:val="BodytextAgency"/>
    <w:pPr>
      <w:keepNext/>
    </w:pPr>
    <w:rPr>
      <w:b/>
    </w:rPr>
  </w:style>
  <w:style w:type="paragraph" w:customStyle="1" w:styleId="TabletextrowsAgency">
    <w:name w:val="Table text rows (Agency)"/>
    <w:basedOn w:val="Normal"/>
    <w:pPr>
      <w:spacing w:line="280" w:lineRule="exact"/>
    </w:pPr>
  </w:style>
  <w:style w:type="paragraph" w:customStyle="1" w:styleId="TableFigurenoteAgency">
    <w:name w:val="Table/Figure note (Agency)"/>
    <w:basedOn w:val="BodytextAgency"/>
    <w:next w:val="BodytextAgency"/>
    <w:pPr>
      <w:spacing w:before="60" w:after="240" w:line="240" w:lineRule="auto"/>
    </w:pPr>
    <w:rPr>
      <w:sz w:val="16"/>
    </w:rPr>
  </w:style>
  <w:style w:type="paragraph" w:styleId="TOC1">
    <w:name w:val="toc 1"/>
    <w:basedOn w:val="Normal"/>
    <w:next w:val="BodytextAgency"/>
    <w:pPr>
      <w:keepNext/>
      <w:tabs>
        <w:tab w:val="right" w:leader="dot" w:pos="9401"/>
      </w:tabs>
      <w:spacing w:before="140" w:after="57" w:line="240" w:lineRule="atLeast"/>
    </w:pPr>
    <w:rPr>
      <w:b/>
      <w:noProof/>
      <w:sz w:val="22"/>
    </w:rPr>
  </w:style>
  <w:style w:type="paragraph" w:styleId="TOC2">
    <w:name w:val="toc 2"/>
    <w:basedOn w:val="Normal"/>
    <w:next w:val="BodytextAgency"/>
    <w:pPr>
      <w:tabs>
        <w:tab w:val="right" w:leader="dot" w:pos="9401"/>
      </w:tabs>
      <w:spacing w:after="57" w:line="240" w:lineRule="atLeast"/>
    </w:pPr>
    <w:rPr>
      <w:noProof/>
      <w:sz w:val="20"/>
    </w:rPr>
  </w:style>
  <w:style w:type="paragraph" w:styleId="TOC3">
    <w:name w:val="toc 3"/>
    <w:basedOn w:val="Normal"/>
    <w:next w:val="BodytextAgency"/>
    <w:pPr>
      <w:tabs>
        <w:tab w:val="right" w:leader="dot" w:pos="9401"/>
      </w:tabs>
      <w:spacing w:after="57" w:line="240" w:lineRule="atLeast"/>
    </w:pPr>
    <w:rPr>
      <w:noProof/>
      <w:sz w:val="20"/>
    </w:rPr>
  </w:style>
  <w:style w:type="paragraph" w:styleId="TOC4">
    <w:name w:val="toc 4"/>
    <w:basedOn w:val="Normal"/>
    <w:next w:val="BodytextAgency"/>
    <w:pPr>
      <w:tabs>
        <w:tab w:val="right" w:leader="dot" w:pos="9401"/>
      </w:tabs>
      <w:spacing w:after="57" w:line="240" w:lineRule="atLeast"/>
    </w:pPr>
    <w:rPr>
      <w:noProof/>
      <w:sz w:val="20"/>
    </w:rPr>
  </w:style>
  <w:style w:type="paragraph" w:styleId="TOC5">
    <w:name w:val="toc 5"/>
    <w:basedOn w:val="Normal"/>
    <w:next w:val="BodytextAgency"/>
    <w:pPr>
      <w:tabs>
        <w:tab w:val="right" w:leader="dot" w:pos="9401"/>
      </w:tabs>
      <w:spacing w:after="57" w:line="240" w:lineRule="atLeast"/>
    </w:pPr>
    <w:rPr>
      <w:noProof/>
      <w:sz w:val="20"/>
    </w:rPr>
  </w:style>
  <w:style w:type="paragraph" w:styleId="TOC6">
    <w:name w:val="toc 6"/>
    <w:basedOn w:val="Normal"/>
    <w:next w:val="BodytextAgency"/>
    <w:autoRedefine/>
    <w:pPr>
      <w:spacing w:after="57" w:line="240" w:lineRule="exact"/>
    </w:pPr>
  </w:style>
  <w:style w:type="paragraph" w:styleId="TOC7">
    <w:name w:val="toc 7"/>
    <w:basedOn w:val="Normal"/>
    <w:next w:val="BodytextAgency"/>
    <w:pPr>
      <w:spacing w:after="57" w:line="240" w:lineRule="exact"/>
    </w:pPr>
  </w:style>
  <w:style w:type="paragraph" w:styleId="TOC8">
    <w:name w:val="toc 8"/>
    <w:basedOn w:val="Normal"/>
    <w:next w:val="BodytextAgency"/>
    <w:pPr>
      <w:spacing w:after="57" w:line="240" w:lineRule="exact"/>
    </w:pPr>
  </w:style>
  <w:style w:type="paragraph" w:styleId="TOC9">
    <w:name w:val="toc 9"/>
    <w:basedOn w:val="Normal"/>
    <w:next w:val="BodytextAgency"/>
    <w:pPr>
      <w:spacing w:after="57" w:line="240" w:lineRule="exact"/>
    </w:pPr>
  </w:style>
  <w:style w:type="numbering" w:styleId="111111">
    <w:name w:val="Outline List 2"/>
    <w:basedOn w:val="NoList"/>
    <w:pPr>
      <w:numPr>
        <w:numId w:val="17"/>
      </w:numPr>
    </w:pPr>
  </w:style>
  <w:style w:type="numbering" w:styleId="1ai">
    <w:name w:val="Outline List 1"/>
    <w:basedOn w:val="NoList"/>
    <w:pPr>
      <w:numPr>
        <w:numId w:val="18"/>
      </w:numPr>
    </w:pPr>
  </w:style>
  <w:style w:type="numbering" w:styleId="ArticleSection">
    <w:name w:val="Outline List 3"/>
    <w:basedOn w:val="NoList"/>
    <w:pPr>
      <w:numPr>
        <w:numId w:val="19"/>
      </w:numPr>
    </w:pPr>
  </w:style>
  <w:style w:type="paragraph" w:styleId="BalloonText">
    <w:name w:val="Balloon Text"/>
    <w:basedOn w:val="Normal"/>
    <w:rPr>
      <w:rFonts w:ascii="Tahoma" w:hAnsi="Tahoma"/>
      <w:sz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line="240" w:lineRule="auto"/>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rPr>
      <w:b/>
      <w:sz w:val="20"/>
    </w:rPr>
  </w:style>
  <w:style w:type="paragraph" w:styleId="Closing">
    <w:name w:val="Closing"/>
    <w:basedOn w:val="Normal"/>
    <w:pPr>
      <w:ind w:left="4252"/>
    </w:pPr>
  </w:style>
  <w:style w:type="character" w:styleId="CommentReference">
    <w:name w:val="annotation reference"/>
    <w:rPr>
      <w:sz w:val="16"/>
    </w:rPr>
  </w:style>
  <w:style w:type="paragraph" w:styleId="CommentText">
    <w:name w:val="annotation text"/>
    <w:basedOn w:val="Normal"/>
    <w:rPr>
      <w:sz w:val="20"/>
    </w:rPr>
  </w:style>
  <w:style w:type="paragraph" w:styleId="CommentSubject">
    <w:name w:val="annotation subject"/>
    <w:basedOn w:val="CommentText"/>
    <w:next w:val="CommentText"/>
    <w:rPr>
      <w:b/>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sz w:val="20"/>
    </w:rPr>
  </w:style>
  <w:style w:type="paragraph" w:styleId="E-mailSignature">
    <w:name w:val="E-mail Signature"/>
    <w:basedOn w:val="Normal"/>
  </w:style>
  <w:style w:type="character" w:styleId="Emphasis">
    <w:name w:val="Emphasis"/>
    <w:qFormat/>
    <w:rPr>
      <w:i/>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rPr>
  </w:style>
  <w:style w:type="character" w:styleId="HTMLCite">
    <w:name w:val="HTML Cite"/>
    <w:rPr>
      <w:i/>
    </w:rPr>
  </w:style>
  <w:style w:type="character" w:styleId="HTMLCode">
    <w:name w:val="HTML Code"/>
    <w:rPr>
      <w:rFonts w:ascii="Courier New" w:hAnsi="Courier New"/>
      <w:sz w:val="20"/>
    </w:rPr>
  </w:style>
  <w:style w:type="character" w:styleId="HTMLDefinition">
    <w:name w:val="HTML Definition"/>
    <w:rPr>
      <w:i/>
    </w:rPr>
  </w:style>
  <w:style w:type="character" w:styleId="HTMLKeyboard">
    <w:name w:val="HTML Keyboard"/>
    <w:rPr>
      <w:rFonts w:ascii="Courier New" w:hAnsi="Courier New"/>
      <w:sz w:val="20"/>
    </w:rPr>
  </w:style>
  <w:style w:type="paragraph" w:styleId="HTMLPreformatted">
    <w:name w:val="HTML Preformatted"/>
    <w:basedOn w:val="Normal"/>
    <w:rPr>
      <w:rFonts w:ascii="Courier New" w:hAnsi="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rPr>
  </w:style>
  <w:style w:type="character" w:styleId="HTMLVariable">
    <w:name w:val="HTML Variable"/>
    <w:rPr>
      <w:i/>
    </w:rPr>
  </w:style>
  <w:style w:type="character" w:styleId="Hyperlink">
    <w:name w:val="Hyperlink"/>
    <w:rPr>
      <w:color w:val="0000FF"/>
      <w:u w:val="single"/>
    </w:rPr>
  </w:style>
  <w:style w:type="paragraph" w:styleId="Index1">
    <w:name w:val="index 1"/>
    <w:basedOn w:val="Normal"/>
    <w:next w:val="Normal"/>
    <w:pPr>
      <w:ind w:left="180" w:hanging="180"/>
    </w:pPr>
  </w:style>
  <w:style w:type="paragraph" w:styleId="Index2">
    <w:name w:val="index 2"/>
    <w:basedOn w:val="Normal"/>
    <w:next w:val="Normal"/>
    <w:pPr>
      <w:ind w:left="360" w:hanging="180"/>
    </w:pPr>
  </w:style>
  <w:style w:type="paragraph" w:styleId="Index3">
    <w:name w:val="index 3"/>
    <w:basedOn w:val="Normal"/>
    <w:next w:val="Normal"/>
    <w:pPr>
      <w:ind w:left="540" w:hanging="180"/>
    </w:pPr>
  </w:style>
  <w:style w:type="paragraph" w:styleId="Index4">
    <w:name w:val="index 4"/>
    <w:basedOn w:val="Normal"/>
    <w:next w:val="Normal"/>
    <w:pPr>
      <w:ind w:left="720" w:hanging="180"/>
    </w:pPr>
  </w:style>
  <w:style w:type="paragraph" w:styleId="Index5">
    <w:name w:val="index 5"/>
    <w:basedOn w:val="Normal"/>
    <w:next w:val="Normal"/>
    <w:pPr>
      <w:ind w:left="900" w:hanging="180"/>
    </w:pPr>
  </w:style>
  <w:style w:type="paragraph" w:styleId="Index6">
    <w:name w:val="index 6"/>
    <w:basedOn w:val="Normal"/>
    <w:next w:val="Normal"/>
    <w:pPr>
      <w:ind w:left="1080" w:hanging="180"/>
    </w:pPr>
  </w:style>
  <w:style w:type="paragraph" w:styleId="Index7">
    <w:name w:val="index 7"/>
    <w:basedOn w:val="Normal"/>
    <w:next w:val="Normal"/>
    <w:pPr>
      <w:ind w:left="1260" w:hanging="180"/>
    </w:pPr>
  </w:style>
  <w:style w:type="paragraph" w:styleId="Index8">
    <w:name w:val="index 8"/>
    <w:basedOn w:val="Normal"/>
    <w:next w:val="Normal"/>
    <w:pPr>
      <w:ind w:left="1440" w:hanging="180"/>
    </w:pPr>
  </w:style>
  <w:style w:type="paragraph" w:styleId="Index9">
    <w:name w:val="index 9"/>
    <w:basedOn w:val="Normal"/>
    <w:next w:val="Normal"/>
    <w:pPr>
      <w:ind w:left="1620" w:hanging="180"/>
    </w:pPr>
  </w:style>
  <w:style w:type="paragraph" w:styleId="IndexHeading">
    <w:name w:val="index heading"/>
    <w:basedOn w:val="Normal"/>
    <w:next w:val="Index1"/>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0"/>
      </w:numPr>
    </w:pPr>
  </w:style>
  <w:style w:type="paragraph" w:styleId="ListBullet2">
    <w:name w:val="List Bullet 2"/>
    <w:basedOn w:val="Normal"/>
    <w:pPr>
      <w:numPr>
        <w:numId w:val="21"/>
      </w:numPr>
    </w:pPr>
  </w:style>
  <w:style w:type="paragraph" w:styleId="ListBullet3">
    <w:name w:val="List Bullet 3"/>
    <w:basedOn w:val="Normal"/>
    <w:pPr>
      <w:numPr>
        <w:numId w:val="22"/>
      </w:numPr>
    </w:pPr>
  </w:style>
  <w:style w:type="paragraph" w:styleId="ListBullet4">
    <w:name w:val="List Bullet 4"/>
    <w:basedOn w:val="Normal"/>
    <w:pPr>
      <w:numPr>
        <w:numId w:val="23"/>
      </w:numPr>
    </w:pPr>
  </w:style>
  <w:style w:type="paragraph" w:styleId="ListBullet5">
    <w:name w:val="List Bullet 5"/>
    <w:basedOn w:val="Normal"/>
    <w:pPr>
      <w:numPr>
        <w:numId w:val="2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5"/>
      </w:numPr>
    </w:pPr>
  </w:style>
  <w:style w:type="paragraph" w:styleId="ListNumber2">
    <w:name w:val="List Number 2"/>
    <w:basedOn w:val="Normal"/>
    <w:pPr>
      <w:numPr>
        <w:numId w:val="26"/>
      </w:numPr>
    </w:pPr>
  </w:style>
  <w:style w:type="paragraph" w:styleId="ListNumber3">
    <w:name w:val="List Number 3"/>
    <w:basedOn w:val="Normal"/>
    <w:pPr>
      <w:numPr>
        <w:numId w:val="27"/>
      </w:numPr>
    </w:pPr>
  </w:style>
  <w:style w:type="paragraph" w:styleId="ListNumber4">
    <w:name w:val="List Number 4"/>
    <w:basedOn w:val="Normal"/>
    <w:pPr>
      <w:numPr>
        <w:numId w:val="28"/>
      </w:numPr>
    </w:pPr>
  </w:style>
  <w:style w:type="paragraph" w:styleId="ListNumber5">
    <w:name w:val="List Number 5"/>
    <w:basedOn w:val="Normal"/>
    <w:pPr>
      <w:numPr>
        <w:numId w:val="29"/>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fr-LU"/>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rPr>
  </w:style>
  <w:style w:type="paragraph" w:styleId="Subtitle">
    <w:name w:val="Subtitle"/>
    <w:basedOn w:val="Normal"/>
    <w:qFormat/>
    <w:pPr>
      <w:spacing w:after="60"/>
      <w:jc w:val="center"/>
      <w:outlineLvl w:val="1"/>
    </w:pPr>
    <w:rPr>
      <w:rFonts w:ascii="Arial" w:hAnsi="Arial"/>
      <w:sz w:val="24"/>
    </w:rPr>
  </w:style>
  <w:style w:type="table" w:styleId="Table3Deffects1">
    <w:name w:val="Table 3D effects 1"/>
    <w:basedOn w:val="TableNormal"/>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color w:val="auto"/>
      </w:rPr>
      <w:tblPr/>
      <w:tcPr>
        <w:tcBorders>
          <w:top w:val="single" w:sz="6" w:space="0" w:color="000000"/>
          <w:tl2br w:val="none" w:sz="0" w:space="0" w:color="auto"/>
          <w:tr2bl w:val="none" w:sz="0" w:space="0" w:color="auto"/>
        </w:tcBorders>
        <w:shd w:val="pct30"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180" w:hanging="18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b/>
      <w:sz w:val="24"/>
    </w:rPr>
  </w:style>
  <w:style w:type="character" w:customStyle="1" w:styleId="BodytextAgencyChar">
    <w:name w:val="Body text (Agency) Char"/>
    <w:link w:val="BodytextAgency"/>
    <w:rPr>
      <w:rFonts w:ascii="Verdana" w:hAnsi="Verdana"/>
      <w:sz w:val="18"/>
    </w:rPr>
  </w:style>
  <w:style w:type="paragraph" w:customStyle="1" w:styleId="PRESSRELEASEPR">
    <w:name w:val="PRESS RELEASE (PR)"/>
    <w:basedOn w:val="Normal"/>
    <w:rsid w:val="00FA31F2"/>
    <w:pPr>
      <w:jc w:val="center"/>
    </w:pPr>
    <w:rPr>
      <w:rFonts w:ascii="Times New Roman" w:hAnsi="Times New Roman"/>
      <w:b/>
      <w:cap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ema.europa.eu/contact" TargetMode="External"/><Relationship Id="rId2" Type="http://schemas.openxmlformats.org/officeDocument/2006/relationships/hyperlink" Target="http://www.ema.europa.eu/how-to-find-us"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F61C-3BEE-4DA4-A5F7-2C88EF48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Comirnaty-Spikevax extra dose_2021_10_ communication</vt:lpstr>
    </vt:vector>
  </TitlesOfParts>
  <Company>European Medicines Agency</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Comirnaty-Spikevax extra dose_2021_10_ communication</dc:title>
  <dc:creator>Denis DECHANDON</dc:creator>
  <dc:description>Template developed for European Medicines Agency by Fiona Lewis and Vanessa Crookes December 2009</dc:description>
  <cp:lastModifiedBy>PPsaras</cp:lastModifiedBy>
  <cp:revision>2</cp:revision>
  <cp:lastPrinted>2018-12-11T09:07:00Z</cp:lastPrinted>
  <dcterms:created xsi:type="dcterms:W3CDTF">2021-10-04T11:50:00Z</dcterms:created>
  <dcterms:modified xsi:type="dcterms:W3CDTF">2021-10-04T11:50:00Z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General</vt:lpwstr>
  </property>
  <property fmtid="{D5CDD505-2E9C-101B-9397-08002B2CF9AE}" pid="5" name="DM_Creation_Date">
    <vt:lpwstr>04/10/2021 13:01:15</vt:lpwstr>
  </property>
  <property fmtid="{D5CDD505-2E9C-101B-9397-08002B2CF9AE}" pid="6" name="DM_Creator_Name">
    <vt:lpwstr>Mbaeliachi Nacho</vt:lpwstr>
  </property>
  <property fmtid="{D5CDD505-2E9C-101B-9397-08002B2CF9AE}" pid="7" name="DM_DocRefId">
    <vt:lpwstr>EMA/553891/2021</vt:lpwstr>
  </property>
  <property fmtid="{D5CDD505-2E9C-101B-9397-08002B2CF9AE}" pid="8" name="DM_emea_doc_ref_id">
    <vt:lpwstr>EMA/553891/2021</vt:lpwstr>
  </property>
  <property fmtid="{D5CDD505-2E9C-101B-9397-08002B2CF9AE}" pid="9" name="DM_Keywords">
    <vt:lpwstr/>
  </property>
  <property fmtid="{D5CDD505-2E9C-101B-9397-08002B2CF9AE}" pid="10" name="DM_Language">
    <vt:lpwstr/>
  </property>
  <property fmtid="{D5CDD505-2E9C-101B-9397-08002B2CF9AE}" pid="11" name="DM_Modifer_Name">
    <vt:lpwstr>Mbaeliachi Nacho</vt:lpwstr>
  </property>
  <property fmtid="{D5CDD505-2E9C-101B-9397-08002B2CF9AE}" pid="12" name="DM_Modified_Date">
    <vt:lpwstr>04/10/2021 13:01:15</vt:lpwstr>
  </property>
  <property fmtid="{D5CDD505-2E9C-101B-9397-08002B2CF9AE}" pid="13" name="DM_Modifier_Name">
    <vt:lpwstr>Mbaeliachi Nacho</vt:lpwstr>
  </property>
  <property fmtid="{D5CDD505-2E9C-101B-9397-08002B2CF9AE}" pid="14" name="DM_Modify_Date">
    <vt:lpwstr>04/10/2021 13:01:15</vt:lpwstr>
  </property>
  <property fmtid="{D5CDD505-2E9C-101B-9397-08002B2CF9AE}" pid="15" name="DM_Name">
    <vt:lpwstr>Comirnaty-Spikevax extra dose_2021_10_ communication</vt:lpwstr>
  </property>
  <property fmtid="{D5CDD505-2E9C-101B-9397-08002B2CF9AE}" pid="16" name="DM_Path">
    <vt:lpwstr>/14. Working areas/14.08 S-Division/02. S-PH - Activities/S-PH-MHI activities/Medical writing/Documents prepared (by date)/2021/2021-10</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1.16,CURRENT</vt:lpwstr>
  </property>
  <property fmtid="{D5CDD505-2E9C-101B-9397-08002B2CF9AE}" pid="22" name="EMEADocClassificationCode">
    <vt:lpwstr>
</vt:lpwstr>
  </property>
  <property fmtid="{D5CDD505-2E9C-101B-9397-08002B2CF9AE}" pid="23" name="EMEADocClassificationHidden">
    <vt:lpwstr>N</vt:lpwstr>
  </property>
  <property fmtid="{D5CDD505-2E9C-101B-9397-08002B2CF9AE}" pid="24" name="EMEADocClassificationText">
    <vt:lpwstr>
</vt:lpwstr>
  </property>
  <property fmtid="{D5CDD505-2E9C-101B-9397-08002B2CF9AE}" pid="25" name="EMEADocDate">
    <vt:lpwstr>20030926</vt:lpwstr>
  </property>
  <property fmtid="{D5CDD505-2E9C-101B-9397-08002B2CF9AE}" pid="26" name="EMEADocDateDay">
    <vt:lpwstr>26</vt:lpwstr>
  </property>
  <property fmtid="{D5CDD505-2E9C-101B-9397-08002B2CF9AE}" pid="27" name="EMEADocDateMonth">
    <vt:lpwstr>September</vt:lpwstr>
  </property>
  <property fmtid="{D5CDD505-2E9C-101B-9397-08002B2CF9AE}" pid="28" name="EMEADocDateYear">
    <vt:lpwstr>2003</vt:lpwstr>
  </property>
  <property fmtid="{D5CDD505-2E9C-101B-9397-08002B2CF9AE}" pid="29" name="EMEADocExtCatTitle">
    <vt:lpwstr>The Title will not be included in the External Catalogue.</vt:lpwstr>
  </property>
  <property fmtid="{D5CDD505-2E9C-101B-9397-08002B2CF9AE}" pid="30" name="EMEADocLanguage">
    <vt:lpwstr>
</vt:lpwstr>
  </property>
  <property fmtid="{D5CDD505-2E9C-101B-9397-08002B2CF9AE}" pid="31" name="EMEADocRefFull">
    <vt:lpwstr>xxxx/xx</vt:lpwstr>
  </property>
  <property fmtid="{D5CDD505-2E9C-101B-9397-08002B2CF9AE}" pid="32" name="EMEADocRefNum">
    <vt:lpwstr>26144</vt:lpwstr>
  </property>
  <property fmtid="{D5CDD505-2E9C-101B-9397-08002B2CF9AE}" pid="33" name="EMEADocRefPart0">
    <vt:lpwstr>EMEA</vt:lpwstr>
  </property>
  <property fmtid="{D5CDD505-2E9C-101B-9397-08002B2CF9AE}" pid="34" name="EMEADocRefPart1">
    <vt:lpwstr>
</vt:lpwstr>
  </property>
  <property fmtid="{D5CDD505-2E9C-101B-9397-08002B2CF9AE}" pid="35" name="EMEADocRefPart2">
    <vt:lpwstr>
</vt:lpwstr>
  </property>
  <property fmtid="{D5CDD505-2E9C-101B-9397-08002B2CF9AE}" pid="36" name="EMEADocRefPart3">
    <vt:lpwstr>
</vt:lpwstr>
  </property>
  <property fmtid="{D5CDD505-2E9C-101B-9397-08002B2CF9AE}" pid="37" name="EMEADocRefPartFreeText">
    <vt:lpwstr>
</vt:lpwstr>
  </property>
  <property fmtid="{D5CDD505-2E9C-101B-9397-08002B2CF9AE}" pid="38" name="EMEADocRefRoot">
    <vt:lpwstr>EMEA/26144/03</vt:lpwstr>
  </property>
  <property fmtid="{D5CDD505-2E9C-101B-9397-08002B2CF9AE}" pid="39" name="EMEADocRefYear">
    <vt:lpwstr>03</vt:lpwstr>
  </property>
  <property fmtid="{D5CDD505-2E9C-101B-9397-08002B2CF9AE}" pid="40" name="EMEADocStatus">
    <vt:lpwstr>
</vt:lpwstr>
  </property>
  <property fmtid="{D5CDD505-2E9C-101B-9397-08002B2CF9AE}" pid="41" name="EMEADocTitle">
    <vt:lpwstr>referrals publication background info final</vt:lpwstr>
  </property>
  <property fmtid="{D5CDD505-2E9C-101B-9397-08002B2CF9AE}" pid="42" name="EMEADocTypeCode">
    <vt:lpwstr>note</vt:lpwstr>
  </property>
  <property fmtid="{D5CDD505-2E9C-101B-9397-08002B2CF9AE}" pid="43" name="EMEADocVersion">
    <vt:lpwstr>
</vt:lpwstr>
  </property>
  <property fmtid="{D5CDD505-2E9C-101B-9397-08002B2CF9AE}" pid="44" name="MSIP_Label_afe1b31d-cec0-4074-b4bd-f07689e43d84_ActionId">
    <vt:lpwstr>fbccb0d7-57aa-49af-bab3-821ac78b3ba1</vt:lpwstr>
  </property>
  <property fmtid="{D5CDD505-2E9C-101B-9397-08002B2CF9AE}" pid="45" name="MSIP_Label_afe1b31d-cec0-4074-b4bd-f07689e43d84_Application">
    <vt:lpwstr>Microsoft Azure Information Protection</vt:lpwstr>
  </property>
  <property fmtid="{D5CDD505-2E9C-101B-9397-08002B2CF9AE}" pid="46" name="MSIP_Label_afe1b31d-cec0-4074-b4bd-f07689e43d84_Enabled">
    <vt:lpwstr>True</vt:lpwstr>
  </property>
  <property fmtid="{D5CDD505-2E9C-101B-9397-08002B2CF9AE}" pid="47" name="MSIP_Label_afe1b31d-cec0-4074-b4bd-f07689e43d84_Extended_MSFT_Method">
    <vt:lpwstr>Automatic</vt:lpwstr>
  </property>
  <property fmtid="{D5CDD505-2E9C-101B-9397-08002B2CF9AE}" pid="48" name="MSIP_Label_afe1b31d-cec0-4074-b4bd-f07689e43d84_Name">
    <vt:lpwstr>Internal</vt:lpwstr>
  </property>
  <property fmtid="{D5CDD505-2E9C-101B-9397-08002B2CF9AE}" pid="49" name="MSIP_Label_afe1b31d-cec0-4074-b4bd-f07689e43d84_Owner">
    <vt:lpwstr>Marialuisa.Spanu@ema.europa.eu</vt:lpwstr>
  </property>
  <property fmtid="{D5CDD505-2E9C-101B-9397-08002B2CF9AE}" pid="50" name="MSIP_Label_afe1b31d-cec0-4074-b4bd-f07689e43d84_SetDate">
    <vt:lpwstr>2019-11-28T09:24:34.0952603Z</vt:lpwstr>
  </property>
  <property fmtid="{D5CDD505-2E9C-101B-9397-08002B2CF9AE}" pid="51" name="MSIP_Label_afe1b31d-cec0-4074-b4bd-f07689e43d84_SiteId">
    <vt:lpwstr>bc9dc15c-61bc-4f03-b60b-e5b6d8922839</vt:lpwstr>
  </property>
  <property fmtid="{D5CDD505-2E9C-101B-9397-08002B2CF9AE}" pid="52" name="MSIP_Label_65e7acf2-4eb7-48c7-9bab-32af677aaee2_Enabled">
    <vt:lpwstr>true</vt:lpwstr>
  </property>
  <property fmtid="{D5CDD505-2E9C-101B-9397-08002B2CF9AE}" pid="53" name="MSIP_Label_65e7acf2-4eb7-48c7-9bab-32af677aaee2_SetDate">
    <vt:lpwstr>2021-10-04T11:14:54Z</vt:lpwstr>
  </property>
  <property fmtid="{D5CDD505-2E9C-101B-9397-08002B2CF9AE}" pid="54" name="MSIP_Label_65e7acf2-4eb7-48c7-9bab-32af677aaee2_Method">
    <vt:lpwstr>Privileged</vt:lpwstr>
  </property>
  <property fmtid="{D5CDD505-2E9C-101B-9397-08002B2CF9AE}" pid="55" name="MSIP_Label_65e7acf2-4eb7-48c7-9bab-32af677aaee2_Name">
    <vt:lpwstr>EU Netwok</vt:lpwstr>
  </property>
  <property fmtid="{D5CDD505-2E9C-101B-9397-08002B2CF9AE}" pid="56" name="MSIP_Label_65e7acf2-4eb7-48c7-9bab-32af677aaee2_SiteId">
    <vt:lpwstr>bc9dc15c-61bc-4f03-b60b-e5b6d8922839</vt:lpwstr>
  </property>
  <property fmtid="{D5CDD505-2E9C-101B-9397-08002B2CF9AE}" pid="57" name="MSIP_Label_65e7acf2-4eb7-48c7-9bab-32af677aaee2_ActionId">
    <vt:lpwstr>b2cb42cf-8601-4bf2-a848-b65aaf5657b5</vt:lpwstr>
  </property>
  <property fmtid="{D5CDD505-2E9C-101B-9397-08002B2CF9AE}" pid="58" name="MSIP_Label_65e7acf2-4eb7-48c7-9bab-32af677aaee2_ContentBits">
    <vt:lpwstr>2</vt:lpwstr>
  </property>
</Properties>
</file>